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1F42E0" w:rsidRPr="00572A65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064B4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pt-BR"/>
              </w:rPr>
              <w:t xml:space="preserve">Universitatea de Vest din </w:t>
            </w:r>
            <w:r w:rsidRPr="004B524D">
              <w:rPr>
                <w:rFonts w:ascii="Times New Roman" w:hAnsi="Times New Roman"/>
                <w:lang w:val="ro-RO"/>
              </w:rPr>
              <w:t>Timişoara</w:t>
            </w:r>
          </w:p>
        </w:tc>
      </w:tr>
      <w:tr w:rsidR="001F42E0" w:rsidRPr="00572A65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1F42E0">
            <w:pPr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Facultatea de Ştiinţe Politice, Filoso</w:t>
            </w:r>
            <w:r>
              <w:rPr>
                <w:rFonts w:ascii="Times New Roman" w:hAnsi="Times New Roman"/>
                <w:lang w:val="ro-RO"/>
              </w:rPr>
              <w:t xml:space="preserve">fie şi Ştiinţe ale Comunicării </w:t>
            </w:r>
            <w:r w:rsidRPr="004B524D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Ştiinţe Politice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002F2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RISE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002F25" w:rsidP="003B2F8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201</w:t>
            </w:r>
            <w:r w:rsidR="003B2F87">
              <w:rPr>
                <w:rFonts w:ascii="Times New Roman" w:hAnsi="Times New Roman"/>
                <w:lang w:val="ro-RO"/>
              </w:rPr>
              <w:t>5</w:t>
            </w:r>
            <w:r>
              <w:rPr>
                <w:rFonts w:ascii="Times New Roman" w:hAnsi="Times New Roman"/>
                <w:lang w:val="ro-RO"/>
              </w:rPr>
              <w:t>-201</w:t>
            </w:r>
            <w:r w:rsidR="003B2F87"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1F42E0" w:rsidRPr="00572A65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002F25" w:rsidP="005B4D9D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B117B0">
              <w:rPr>
                <w:rFonts w:ascii="Times New Roman" w:hAnsi="Times New Roman"/>
                <w:lang w:val="ro-RO"/>
              </w:rPr>
              <w:t>R</w:t>
            </w:r>
            <w:r w:rsidR="00B117B0" w:rsidRPr="00B117B0">
              <w:rPr>
                <w:rFonts w:ascii="Times New Roman" w:hAnsi="Times New Roman"/>
                <w:lang w:val="ro-RO"/>
              </w:rPr>
              <w:t>ela</w:t>
            </w:r>
            <w:r w:rsidR="00B117B0">
              <w:rPr>
                <w:rFonts w:ascii="Times New Roman" w:hAnsi="Times New Roman"/>
                <w:lang w:val="ro-RO"/>
              </w:rPr>
              <w:t xml:space="preserve">ții </w:t>
            </w:r>
            <w:r w:rsidRPr="0041256C">
              <w:rPr>
                <w:rFonts w:ascii="Times New Roman" w:hAnsi="Times New Roman"/>
                <w:lang w:val="ro-RO"/>
              </w:rPr>
              <w:t>I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nternaționale și </w:t>
            </w:r>
            <w:r w:rsidRPr="0041256C">
              <w:rPr>
                <w:rFonts w:ascii="Times New Roman" w:hAnsi="Times New Roman"/>
                <w:lang w:val="ro-RO"/>
              </w:rPr>
              <w:t>S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tudii </w:t>
            </w:r>
            <w:r w:rsidRPr="0041256C">
              <w:rPr>
                <w:rFonts w:ascii="Times New Roman" w:hAnsi="Times New Roman"/>
                <w:lang w:val="ro-RO"/>
              </w:rPr>
              <w:t>E</w:t>
            </w:r>
            <w:r w:rsidR="005B4D9D">
              <w:rPr>
                <w:rFonts w:ascii="Times New Roman" w:hAnsi="Times New Roman"/>
                <w:lang w:val="ro-RO"/>
              </w:rPr>
              <w:t xml:space="preserve">uropene. </w:t>
            </w:r>
            <w:r w:rsidR="0041256C">
              <w:rPr>
                <w:rFonts w:ascii="Times New Roman" w:hAnsi="Times New Roman"/>
                <w:lang w:val="ro-RO"/>
              </w:rPr>
              <w:t xml:space="preserve">Calificarea: </w:t>
            </w:r>
            <w:r w:rsidR="0041256C" w:rsidRPr="0041256C">
              <w:rPr>
                <w:rFonts w:ascii="Times New Roman" w:hAnsi="Times New Roman"/>
                <w:lang w:val="ro-RO"/>
              </w:rPr>
              <w:t>Analiști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 economici politici; </w:t>
            </w:r>
            <w:r w:rsidR="005B4D9D" w:rsidRPr="0041256C">
              <w:rPr>
                <w:rFonts w:ascii="Times New Roman" w:hAnsi="Times New Roman"/>
                <w:lang w:val="ro-RO"/>
              </w:rPr>
              <w:t>Analiști</w:t>
            </w:r>
            <w:r w:rsidR="00B117B0" w:rsidRPr="0041256C">
              <w:rPr>
                <w:rFonts w:ascii="Times New Roman" w:hAnsi="Times New Roman"/>
                <w:lang w:val="ro-RO"/>
              </w:rPr>
              <w:t>/redactori/</w:t>
            </w:r>
            <w:r w:rsidR="005B4D9D" w:rsidRPr="0041256C">
              <w:rPr>
                <w:rFonts w:ascii="Times New Roman" w:hAnsi="Times New Roman"/>
                <w:lang w:val="ro-RO"/>
              </w:rPr>
              <w:t>documentariști</w:t>
            </w:r>
            <w:r w:rsidR="0041256C" w:rsidRPr="0041256C">
              <w:rPr>
                <w:rFonts w:ascii="Times New Roman" w:hAnsi="Times New Roman"/>
                <w:lang w:val="ro-RO"/>
              </w:rPr>
              <w:t xml:space="preserve"> în sistemul mass-media; </w:t>
            </w:r>
            <w:r w:rsidR="005B4D9D" w:rsidRPr="0041256C">
              <w:rPr>
                <w:rFonts w:ascii="Times New Roman" w:hAnsi="Times New Roman"/>
                <w:lang w:val="ro-RO"/>
              </w:rPr>
              <w:t>Atașat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, secretar, consilier diplomatic; Cercetători </w:t>
            </w:r>
            <w:r w:rsidR="0041256C" w:rsidRPr="0041256C">
              <w:rPr>
                <w:rFonts w:ascii="Times New Roman" w:hAnsi="Times New Roman"/>
                <w:lang w:val="ro-RO"/>
              </w:rPr>
              <w:t>știin</w:t>
            </w:r>
            <w:r w:rsidR="0041256C">
              <w:rPr>
                <w:rFonts w:ascii="Times New Roman" w:hAnsi="Times New Roman"/>
                <w:lang w:val="ro-RO"/>
              </w:rPr>
              <w:t xml:space="preserve">țifici în unități de cercetare; </w:t>
            </w:r>
            <w:r w:rsidR="00B117B0" w:rsidRPr="0041256C">
              <w:rPr>
                <w:rFonts w:ascii="Times New Roman" w:hAnsi="Times New Roman"/>
                <w:lang w:val="ro-RO"/>
              </w:rPr>
              <w:t>Consilier/expert în domeniul integr</w:t>
            </w:r>
            <w:r w:rsidR="0041256C">
              <w:rPr>
                <w:rFonts w:ascii="Times New Roman" w:hAnsi="Times New Roman"/>
                <w:lang w:val="ro-RO"/>
              </w:rPr>
              <w:t xml:space="preserve">ării europene şi euroatlantice; 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Consilier/expert în </w:t>
            </w:r>
            <w:r w:rsidR="0041256C" w:rsidRPr="0041256C">
              <w:rPr>
                <w:rFonts w:ascii="Times New Roman" w:hAnsi="Times New Roman"/>
                <w:lang w:val="ro-RO"/>
              </w:rPr>
              <w:t>relații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 </w:t>
            </w:r>
            <w:r w:rsidR="0041256C" w:rsidRPr="0041256C">
              <w:rPr>
                <w:rFonts w:ascii="Times New Roman" w:hAnsi="Times New Roman"/>
                <w:lang w:val="ro-RO"/>
              </w:rPr>
              <w:t>internaționale</w:t>
            </w:r>
            <w:r w:rsidR="00B117B0" w:rsidRPr="0041256C">
              <w:rPr>
                <w:rFonts w:ascii="Times New Roman" w:hAnsi="Times New Roman"/>
                <w:lang w:val="ro-RO"/>
              </w:rPr>
              <w:t>, studii europene; Consilieri/</w:t>
            </w:r>
            <w:r w:rsidR="005B4D9D" w:rsidRPr="0041256C">
              <w:rPr>
                <w:rFonts w:ascii="Times New Roman" w:hAnsi="Times New Roman"/>
                <w:lang w:val="ro-RO"/>
              </w:rPr>
              <w:t>experți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 în cadrul ONG </w:t>
            </w:r>
            <w:r w:rsidR="005B4D9D" w:rsidRPr="0041256C">
              <w:rPr>
                <w:rFonts w:ascii="Times New Roman" w:hAnsi="Times New Roman"/>
                <w:lang w:val="ro-RO"/>
              </w:rPr>
              <w:t>și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 par</w:t>
            </w:r>
            <w:r w:rsidR="0041256C">
              <w:rPr>
                <w:rFonts w:ascii="Times New Roman" w:hAnsi="Times New Roman"/>
                <w:lang w:val="ro-RO"/>
              </w:rPr>
              <w:t xml:space="preserve">tidelor politice, sindicatelor; </w:t>
            </w:r>
            <w:r w:rsidR="005B4D9D">
              <w:rPr>
                <w:rFonts w:ascii="Times New Roman" w:hAnsi="Times New Roman"/>
                <w:lang w:val="ro-RO"/>
              </w:rPr>
              <w:t>Consultanți</w:t>
            </w:r>
            <w:r w:rsidR="0041256C">
              <w:rPr>
                <w:rFonts w:ascii="Times New Roman" w:hAnsi="Times New Roman"/>
                <w:lang w:val="ro-RO"/>
              </w:rPr>
              <w:t xml:space="preserve">; </w:t>
            </w:r>
            <w:r w:rsidR="005B4D9D" w:rsidRPr="0041256C">
              <w:rPr>
                <w:rFonts w:ascii="Times New Roman" w:hAnsi="Times New Roman"/>
                <w:lang w:val="ro-RO"/>
              </w:rPr>
              <w:t>Euro funcționar</w:t>
            </w:r>
            <w:r w:rsidR="00B117B0" w:rsidRPr="0041256C">
              <w:rPr>
                <w:rFonts w:ascii="Times New Roman" w:hAnsi="Times New Roman"/>
                <w:lang w:val="ro-RO"/>
              </w:rPr>
              <w:t xml:space="preserve">; </w:t>
            </w:r>
            <w:r w:rsidR="005B4D9D" w:rsidRPr="0041256C">
              <w:rPr>
                <w:rFonts w:ascii="Times New Roman" w:hAnsi="Times New Roman"/>
                <w:lang w:val="ro-RO"/>
              </w:rPr>
              <w:t>Experți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în </w:t>
            </w:r>
            <w:r w:rsidR="005B4D9D" w:rsidRPr="0041256C">
              <w:rPr>
                <w:rFonts w:ascii="Times New Roman" w:hAnsi="Times New Roman"/>
                <w:lang w:val="ro-RO"/>
              </w:rPr>
              <w:t>relații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economice şi politice; Formatori pentru domeniul integrării europene; </w:t>
            </w:r>
            <w:r w:rsidR="005B4D9D" w:rsidRPr="0041256C">
              <w:rPr>
                <w:rFonts w:ascii="Times New Roman" w:hAnsi="Times New Roman"/>
                <w:lang w:val="ro-RO"/>
              </w:rPr>
              <w:t>Funcționar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în </w:t>
            </w:r>
            <w:r w:rsidR="005B4D9D" w:rsidRPr="0041256C">
              <w:rPr>
                <w:rFonts w:ascii="Times New Roman" w:hAnsi="Times New Roman"/>
                <w:lang w:val="ro-RO"/>
              </w:rPr>
              <w:t>administrația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publică, centrală, </w:t>
            </w:r>
            <w:r w:rsidR="005B4D9D" w:rsidRPr="0041256C">
              <w:rPr>
                <w:rFonts w:ascii="Times New Roman" w:hAnsi="Times New Roman"/>
                <w:lang w:val="ro-RO"/>
              </w:rPr>
              <w:t>j</w:t>
            </w:r>
            <w:r w:rsidR="005B4D9D">
              <w:rPr>
                <w:rFonts w:ascii="Times New Roman" w:hAnsi="Times New Roman"/>
                <w:lang w:val="ro-RO"/>
              </w:rPr>
              <w:t>u</w:t>
            </w:r>
            <w:r w:rsidR="005B4D9D" w:rsidRPr="0041256C">
              <w:rPr>
                <w:rFonts w:ascii="Times New Roman" w:hAnsi="Times New Roman"/>
                <w:lang w:val="ro-RO"/>
              </w:rPr>
              <w:t>dețeană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, locală; Manageri de proiecte europene şi </w:t>
            </w:r>
            <w:r w:rsidR="005B4D9D" w:rsidRPr="0041256C">
              <w:rPr>
                <w:rFonts w:ascii="Times New Roman" w:hAnsi="Times New Roman"/>
                <w:lang w:val="ro-RO"/>
              </w:rPr>
              <w:t>internaționale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; Mediatori europeni </w:t>
            </w:r>
            <w:r w:rsidR="005B4D9D" w:rsidRPr="0041256C">
              <w:rPr>
                <w:rFonts w:ascii="Times New Roman" w:hAnsi="Times New Roman"/>
                <w:lang w:val="ro-RO"/>
              </w:rPr>
              <w:t>și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</w:t>
            </w:r>
            <w:r w:rsidR="005B4D9D" w:rsidRPr="0041256C">
              <w:rPr>
                <w:rFonts w:ascii="Times New Roman" w:hAnsi="Times New Roman"/>
                <w:lang w:val="ro-RO"/>
              </w:rPr>
              <w:t>internaționali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în domeniul economic şi politic;  Negociatori (inclusiv în rezolvarea conflictelor); </w:t>
            </w:r>
            <w:r w:rsidR="0041256C">
              <w:rPr>
                <w:rFonts w:ascii="Times New Roman" w:hAnsi="Times New Roman"/>
                <w:lang w:val="ro-RO"/>
              </w:rPr>
              <w:t>P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rofesor de </w:t>
            </w:r>
            <w:r w:rsidR="005B4D9D" w:rsidRPr="0041256C">
              <w:rPr>
                <w:rFonts w:ascii="Times New Roman" w:hAnsi="Times New Roman"/>
                <w:lang w:val="ro-RO"/>
              </w:rPr>
              <w:t>relații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</w:t>
            </w:r>
            <w:r w:rsidR="005B4D9D" w:rsidRPr="0041256C">
              <w:rPr>
                <w:rFonts w:ascii="Times New Roman" w:hAnsi="Times New Roman"/>
                <w:lang w:val="ro-RO"/>
              </w:rPr>
              <w:t>internaționale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, studii europene, istoria </w:t>
            </w:r>
            <w:r w:rsidR="005B4D9D" w:rsidRPr="0041256C">
              <w:rPr>
                <w:rFonts w:ascii="Times New Roman" w:hAnsi="Times New Roman"/>
                <w:lang w:val="ro-RO"/>
              </w:rPr>
              <w:t>relațiilor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</w:t>
            </w:r>
            <w:r w:rsidR="005B4D9D" w:rsidRPr="0041256C">
              <w:rPr>
                <w:rFonts w:ascii="Times New Roman" w:hAnsi="Times New Roman"/>
                <w:lang w:val="ro-RO"/>
              </w:rPr>
              <w:t>internaționale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</w:t>
            </w:r>
            <w:r w:rsidR="005B4D9D" w:rsidRPr="0041256C">
              <w:rPr>
                <w:rFonts w:ascii="Times New Roman" w:hAnsi="Times New Roman"/>
                <w:lang w:val="ro-RO"/>
              </w:rPr>
              <w:t>și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a </w:t>
            </w:r>
            <w:r w:rsidR="005B4D9D" w:rsidRPr="0041256C">
              <w:rPr>
                <w:rFonts w:ascii="Times New Roman" w:hAnsi="Times New Roman"/>
                <w:lang w:val="ro-RO"/>
              </w:rPr>
              <w:t>diplomației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la colegii, licee, gimnazii; </w:t>
            </w:r>
            <w:r w:rsidR="005B4D9D">
              <w:rPr>
                <w:rFonts w:ascii="Times New Roman" w:hAnsi="Times New Roman"/>
                <w:lang w:val="ro-RO"/>
              </w:rPr>
              <w:t>Specialist în comunicare ș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i </w:t>
            </w:r>
            <w:r w:rsidR="005B4D9D" w:rsidRPr="0041256C">
              <w:rPr>
                <w:rFonts w:ascii="Times New Roman" w:hAnsi="Times New Roman"/>
                <w:lang w:val="ro-RO"/>
              </w:rPr>
              <w:t>relații</w:t>
            </w:r>
            <w:r w:rsidR="0079138F" w:rsidRPr="0041256C">
              <w:rPr>
                <w:rFonts w:ascii="Times New Roman" w:hAnsi="Times New Roman"/>
                <w:lang w:val="ro-RO"/>
              </w:rPr>
              <w:t xml:space="preserve"> publice </w:t>
            </w:r>
            <w:r w:rsidR="005B4D9D" w:rsidRPr="0041256C">
              <w:rPr>
                <w:rFonts w:ascii="Times New Roman" w:hAnsi="Times New Roman"/>
                <w:lang w:val="ro-RO"/>
              </w:rPr>
              <w:t>internaționale</w:t>
            </w:r>
            <w:r w:rsidR="0079138F" w:rsidRPr="0041256C">
              <w:rPr>
                <w:rFonts w:ascii="Times New Roman" w:hAnsi="Times New Roman"/>
                <w:lang w:val="ro-RO"/>
              </w:rPr>
              <w:t>.</w:t>
            </w:r>
            <w:r w:rsidR="00B117B0" w:rsidRPr="0079138F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:rsidR="002F4986" w:rsidRDefault="002F4986" w:rsidP="002F4986">
      <w:pPr>
        <w:pStyle w:val="ListParagraph"/>
        <w:spacing w:after="0"/>
        <w:ind w:left="714"/>
        <w:rPr>
          <w:rFonts w:ascii="Times New Roman" w:hAnsi="Times New Roman"/>
          <w:b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002F25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C3782B" w:rsidRDefault="00C3782B" w:rsidP="00002F25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Politica externă a Uniunii Europene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DD00CB" w:rsidP="00002F2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</w:t>
            </w:r>
            <w:r w:rsidR="00002F25">
              <w:rPr>
                <w:rFonts w:ascii="Times New Roman" w:hAnsi="Times New Roman"/>
                <w:lang w:val="ro-RO"/>
              </w:rPr>
              <w:t>t</w:t>
            </w:r>
            <w:r w:rsidR="00002F25" w:rsidRPr="004B524D">
              <w:rPr>
                <w:rFonts w:ascii="Times New Roman" w:hAnsi="Times New Roman"/>
                <w:lang w:val="ro-RO"/>
              </w:rPr>
              <w:t xml:space="preserve">. Dr. </w:t>
            </w:r>
            <w:r w:rsidR="00002F25">
              <w:rPr>
                <w:rFonts w:ascii="Times New Roman" w:hAnsi="Times New Roman"/>
                <w:lang w:val="ro-RO"/>
              </w:rPr>
              <w:t>Ciprian Niţu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DD00CB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</w:t>
            </w:r>
            <w:r w:rsidR="00002F25" w:rsidRPr="004B524D">
              <w:rPr>
                <w:rFonts w:ascii="Times New Roman" w:hAnsi="Times New Roman"/>
                <w:lang w:val="ro-RO"/>
              </w:rPr>
              <w:t xml:space="preserve">. Dr. </w:t>
            </w:r>
            <w:r w:rsidR="00002F25">
              <w:rPr>
                <w:rFonts w:ascii="Times New Roman" w:hAnsi="Times New Roman"/>
                <w:lang w:val="ro-RO"/>
              </w:rPr>
              <w:t>Ciprian Niţu</w:t>
            </w:r>
          </w:p>
        </w:tc>
      </w:tr>
      <w:tr w:rsidR="00003521" w:rsidRPr="00572A65" w:rsidTr="00F601C2">
        <w:tc>
          <w:tcPr>
            <w:tcW w:w="4102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>4 Titular activităţi</w:t>
            </w:r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</w:t>
            </w:r>
            <w:r w:rsidR="00C3782B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  <w:r w:rsidR="00C3782B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5A15CF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:rsidR="002462D7" w:rsidRPr="00307A66" w:rsidRDefault="009B66E6" w:rsidP="002F4986">
      <w:pPr>
        <w:pStyle w:val="ListParagraph"/>
        <w:tabs>
          <w:tab w:val="left" w:pos="1719"/>
        </w:tabs>
        <w:ind w:left="0"/>
        <w:jc w:val="both"/>
        <w:rPr>
          <w:rFonts w:ascii="Times New Roman" w:hAnsi="Times New Roman"/>
          <w:lang w:val="ro-RO"/>
        </w:rPr>
      </w:pPr>
      <w:r>
        <w:rPr>
          <w:i/>
          <w:color w:val="C00000"/>
        </w:rPr>
        <w:tab/>
      </w: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307A66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3B2F8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562868" w:rsidRDefault="00E87B3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562868" w:rsidRDefault="003B2F87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Numar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9B2379" w:rsidP="009B237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25" w:type="dxa"/>
            <w:shd w:val="clear" w:color="auto" w:fill="auto"/>
          </w:tcPr>
          <w:p w:rsidR="00C14C76" w:rsidRPr="00D73D2A" w:rsidRDefault="0000590A" w:rsidP="009B2379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</w:t>
            </w:r>
            <w:r w:rsidR="009B2379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D73D2A" w:rsidRDefault="009B2379" w:rsidP="00C14C7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013121" w:rsidP="008B4E40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8B4E40"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5A1A33" w:rsidP="008B4E40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8B4E40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0131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0131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0131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013121" w:rsidP="005E2B2C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  <w:r w:rsidR="005E2B2C">
              <w:rPr>
                <w:rFonts w:ascii="Times New Roman" w:hAnsi="Times New Roman"/>
                <w:b/>
                <w:lang w:val="ro-RO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B4E40" w:rsidP="00452FD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  <w:r w:rsidR="00013121">
              <w:rPr>
                <w:rFonts w:ascii="Times New Roman" w:hAnsi="Times New Roman"/>
                <w:b/>
                <w:lang w:val="ro-RO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CB174D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8227E3" w:rsidRDefault="008227E3" w:rsidP="008227E3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recomandă promovarea următoarelor discipline:</w:t>
            </w:r>
          </w:p>
          <w:p w:rsidR="00FF0035" w:rsidRPr="008227E3" w:rsidRDefault="00435F08" w:rsidP="008227E3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Instituţiile Uniunii Europene </w:t>
            </w:r>
          </w:p>
          <w:p w:rsidR="008227E3" w:rsidRPr="00562868" w:rsidRDefault="008227E3" w:rsidP="008227E3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 w:rsidRPr="008227E3">
              <w:rPr>
                <w:rFonts w:ascii="Times New Roman" w:hAnsi="Times New Roman"/>
                <w:lang w:val="ro-RO"/>
              </w:rPr>
              <w:t>Politică Externă şi Diplomaţie</w:t>
            </w:r>
          </w:p>
        </w:tc>
      </w:tr>
      <w:tr w:rsidR="002E719E" w:rsidRPr="00572A65" w:rsidTr="00562868">
        <w:tc>
          <w:tcPr>
            <w:tcW w:w="1985" w:type="dxa"/>
            <w:shd w:val="clear" w:color="auto" w:fill="auto"/>
          </w:tcPr>
          <w:p w:rsidR="002E719E" w:rsidRPr="00562868" w:rsidRDefault="002E719E" w:rsidP="002E719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2F4986" w:rsidRPr="00562868" w:rsidRDefault="002F4986" w:rsidP="002F498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principalelor instituții și mecanisme decizionale ale Uniunii Europene; înțelegerea specificului negocierii în context interguvernamental.</w:t>
            </w:r>
          </w:p>
        </w:tc>
      </w:tr>
    </w:tbl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4"/>
      </w:tblGrid>
      <w:tr w:rsidR="00A64700" w:rsidRPr="00C3782B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64700" w:rsidRPr="00562868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>1. Cunoaştere şi înţelegere</w:t>
            </w:r>
            <w:r w:rsidRPr="00301CCF">
              <w:rPr>
                <w:rFonts w:ascii="Times New Roman" w:hAnsi="Times New Roman"/>
                <w:lang w:val="ro-RO"/>
              </w:rPr>
              <w:t xml:space="preserve"> (cunoaşterea şi utilizarea adecvată a noţiunilor specifice disciplinei)</w:t>
            </w:r>
          </w:p>
          <w:p w:rsidR="00A64700" w:rsidRPr="00301CCF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Familiarizarea cu vocabularul </w:t>
            </w:r>
            <w:r w:rsidR="00504812">
              <w:rPr>
                <w:rFonts w:ascii="Times New Roman" w:hAnsi="Times New Roman"/>
                <w:lang w:val="ro-RO"/>
              </w:rPr>
              <w:t xml:space="preserve">şi teoriile </w:t>
            </w:r>
            <w:r w:rsidRPr="00301CCF">
              <w:rPr>
                <w:rFonts w:ascii="Times New Roman" w:hAnsi="Times New Roman"/>
                <w:lang w:val="ro-RO"/>
              </w:rPr>
              <w:t>specific</w:t>
            </w:r>
            <w:r w:rsidR="00504812">
              <w:rPr>
                <w:rFonts w:ascii="Times New Roman" w:hAnsi="Times New Roman"/>
                <w:lang w:val="ro-RO"/>
              </w:rPr>
              <w:t>e</w:t>
            </w:r>
            <w:r w:rsidRPr="00301CCF">
              <w:rPr>
                <w:rFonts w:ascii="Times New Roman" w:hAnsi="Times New Roman"/>
                <w:lang w:val="ro-RO"/>
              </w:rPr>
              <w:t xml:space="preserve"> </w:t>
            </w:r>
            <w:r w:rsidR="00504812">
              <w:rPr>
                <w:rFonts w:ascii="Times New Roman" w:hAnsi="Times New Roman"/>
                <w:lang w:val="ro-RO"/>
              </w:rPr>
              <w:t>disciplinei</w:t>
            </w:r>
            <w:r w:rsidR="00CB19F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Înţelegerea problematicii </w:t>
            </w:r>
            <w:r w:rsidR="00504812">
              <w:rPr>
                <w:rFonts w:ascii="Times New Roman" w:hAnsi="Times New Roman"/>
                <w:lang w:val="ro-RO"/>
              </w:rPr>
              <w:t>disciplinei</w:t>
            </w:r>
            <w:r w:rsidR="00CB19F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064B4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>Identificarea relevanţei problematicii studiate</w:t>
            </w:r>
            <w:r w:rsidR="00504812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064B4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 xml:space="preserve">2.Explicare şi interpretare </w:t>
            </w:r>
            <w:r w:rsidRPr="00301CCF">
              <w:rPr>
                <w:rFonts w:ascii="Times New Roman" w:hAnsi="Times New Roman"/>
                <w:lang w:val="ro-RO"/>
              </w:rPr>
              <w:t>(explicarea şi interpretarea unor idei, proiecte, procese, precum şi a conţinuturilor teoretice şi practice ale disciplinei)</w:t>
            </w:r>
          </w:p>
          <w:p w:rsidR="00A64700" w:rsidRPr="00301CCF" w:rsidRDefault="00D036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şi explicarea principalelor </w:t>
            </w:r>
            <w:r w:rsidR="00CB19FA">
              <w:rPr>
                <w:rFonts w:ascii="Times New Roman" w:hAnsi="Times New Roman"/>
                <w:lang w:val="ro-RO"/>
              </w:rPr>
              <w:t>dimensiuni ale analizei</w:t>
            </w:r>
            <w:r>
              <w:rPr>
                <w:rFonts w:ascii="Times New Roman" w:hAnsi="Times New Roman"/>
                <w:lang w:val="ro-RO"/>
              </w:rPr>
              <w:t xml:space="preserve"> politicii externe aUE</w:t>
            </w:r>
            <w:r w:rsidR="00CB19FA">
              <w:rPr>
                <w:rFonts w:ascii="Times New Roman" w:hAnsi="Times New Roman"/>
                <w:lang w:val="ro-RO"/>
              </w:rPr>
              <w:t xml:space="preserve"> (securitate, extindere, </w:t>
            </w:r>
            <w:r>
              <w:rPr>
                <w:rFonts w:ascii="Times New Roman" w:hAnsi="Times New Roman"/>
                <w:lang w:val="ro-RO"/>
              </w:rPr>
              <w:t>relaţii</w:t>
            </w:r>
            <w:r w:rsidR="00CB19FA">
              <w:rPr>
                <w:rFonts w:ascii="Times New Roman" w:hAnsi="Times New Roman"/>
                <w:lang w:val="ro-RO"/>
              </w:rPr>
              <w:t xml:space="preserve"> comerciale, dezvoltare</w:t>
            </w:r>
            <w:r>
              <w:rPr>
                <w:rFonts w:ascii="Times New Roman" w:hAnsi="Times New Roman"/>
                <w:lang w:val="ro-RO"/>
              </w:rPr>
              <w:t xml:space="preserve"> internaţională</w:t>
            </w:r>
            <w:r w:rsidR="00CB19FA">
              <w:rPr>
                <w:rFonts w:ascii="Times New Roman" w:hAnsi="Times New Roman"/>
                <w:lang w:val="ro-RO"/>
              </w:rPr>
              <w:t>, mediu</w:t>
            </w:r>
            <w:r w:rsidR="00E069F7">
              <w:rPr>
                <w:rFonts w:ascii="Times New Roman" w:hAnsi="Times New Roman"/>
                <w:lang w:val="ro-RO"/>
              </w:rPr>
              <w:t xml:space="preserve"> etc.</w:t>
            </w:r>
            <w:r w:rsidR="00CB19FA">
              <w:rPr>
                <w:rFonts w:ascii="Times New Roman" w:hAnsi="Times New Roman"/>
                <w:lang w:val="ro-RO"/>
              </w:rPr>
              <w:t xml:space="preserve">) </w:t>
            </w:r>
          </w:p>
          <w:p w:rsidR="00A64700" w:rsidRDefault="00D036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Cunoaşterea evoluţiei</w:t>
            </w:r>
            <w:r w:rsidR="00CB19FA">
              <w:rPr>
                <w:rFonts w:ascii="Times New Roman" w:hAnsi="Times New Roman"/>
                <w:lang w:val="ro-RO"/>
              </w:rPr>
              <w:t xml:space="preserve"> i</w:t>
            </w:r>
            <w:r>
              <w:rPr>
                <w:rFonts w:ascii="Times New Roman" w:hAnsi="Times New Roman"/>
                <w:lang w:val="ro-RO"/>
              </w:rPr>
              <w:t>storice</w:t>
            </w:r>
            <w:r w:rsidR="00CB19FA">
              <w:rPr>
                <w:rFonts w:ascii="Times New Roman" w:hAnsi="Times New Roman"/>
                <w:lang w:val="ro-RO"/>
              </w:rPr>
              <w:t xml:space="preserve"> a politicii externe a UE</w:t>
            </w:r>
          </w:p>
          <w:p w:rsidR="00CB19FA" w:rsidRPr="00D036CB" w:rsidRDefault="00D036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D036CB">
              <w:rPr>
                <w:rFonts w:ascii="Times New Roman" w:hAnsi="Times New Roman"/>
                <w:lang w:val="ro-RO"/>
              </w:rPr>
              <w:t>Interpretarea unor procese sau strategii de politică externă precum c</w:t>
            </w:r>
            <w:r w:rsidR="00CB19FA" w:rsidRPr="00D036CB">
              <w:rPr>
                <w:rFonts w:ascii="Times New Roman" w:hAnsi="Times New Roman"/>
                <w:lang w:val="ro-RO"/>
              </w:rPr>
              <w:t>ondiţionalitatea</w:t>
            </w:r>
            <w:r w:rsidRPr="00D036CB">
              <w:rPr>
                <w:rFonts w:ascii="Times New Roman" w:hAnsi="Times New Roman"/>
                <w:lang w:val="ro-RO"/>
              </w:rPr>
              <w:t xml:space="preserve">, extinderea şi </w:t>
            </w:r>
            <w:r>
              <w:rPr>
                <w:rFonts w:ascii="Times New Roman" w:hAnsi="Times New Roman"/>
                <w:lang w:val="ro-RO"/>
              </w:rPr>
              <w:t xml:space="preserve">politica de vecinătate. </w:t>
            </w:r>
          </w:p>
          <w:p w:rsidR="00A64700" w:rsidRPr="00301CCF" w:rsidRDefault="00A64700" w:rsidP="00064B4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 xml:space="preserve">3.Instrumental-aplicative </w:t>
            </w:r>
            <w:r w:rsidR="00166BA1">
              <w:rPr>
                <w:rFonts w:ascii="Times New Roman" w:hAnsi="Times New Roman"/>
                <w:lang w:val="ro-RO"/>
              </w:rPr>
              <w:t>(proiecta</w:t>
            </w:r>
            <w:r w:rsidRPr="00301CCF">
              <w:rPr>
                <w:rFonts w:ascii="Times New Roman" w:hAnsi="Times New Roman"/>
                <w:lang w:val="ro-RO"/>
              </w:rPr>
              <w:t>rea, conducerea şi evaluarea activităţilor practice specifice; utilizarea unor metode, tehnici şi instrumente de investigare şi de aplicare)</w:t>
            </w:r>
          </w:p>
          <w:p w:rsidR="00A64700" w:rsidRDefault="00B27927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Analize comparative şi istorice</w:t>
            </w:r>
          </w:p>
          <w:p w:rsidR="00D351C6" w:rsidRPr="00301CCF" w:rsidRDefault="00D351C6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Studii de caz</w:t>
            </w:r>
          </w:p>
          <w:p w:rsidR="00A64700" w:rsidRPr="00301CCF" w:rsidRDefault="00A64700" w:rsidP="00064B4D">
            <w:pPr>
              <w:spacing w:after="0" w:line="240" w:lineRule="auto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>4.Atitudinale</w:t>
            </w:r>
            <w:r w:rsidRPr="00301CCF">
              <w:rPr>
                <w:rFonts w:ascii="Times New Roman" w:hAnsi="Times New Roman"/>
                <w:lang w:val="ro-RO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A83770" w:rsidRDefault="00B27927" w:rsidP="00A8377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cunoaşterea dimensiunii europene a politicii externe a României</w:t>
            </w:r>
            <w:r w:rsidR="00D03230">
              <w:rPr>
                <w:rFonts w:ascii="Times New Roman" w:hAnsi="Times New Roman"/>
                <w:lang w:val="ro-RO"/>
              </w:rPr>
              <w:t xml:space="preserve"> / europenizarea politicii externe a statelor membre.</w:t>
            </w:r>
          </w:p>
          <w:p w:rsidR="005E2B2C" w:rsidRPr="00A83770" w:rsidRDefault="005E2B2C" w:rsidP="005E2B2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proiectarea valorilor și principiilor democratice în politica internațională.</w:t>
            </w:r>
          </w:p>
        </w:tc>
      </w:tr>
      <w:tr w:rsidR="00A64700" w:rsidRPr="00950720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64700" w:rsidRPr="00562868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lastRenderedPageBreak/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A64700" w:rsidRPr="00562868" w:rsidRDefault="00950720" w:rsidP="0095072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53901">
              <w:rPr>
                <w:rFonts w:ascii="Times New Roman" w:hAnsi="Times New Roman"/>
                <w:lang w:val="ro-RO"/>
              </w:rPr>
              <w:t xml:space="preserve">Disciplina </w:t>
            </w:r>
            <w:r>
              <w:rPr>
                <w:rFonts w:ascii="Times New Roman" w:hAnsi="Times New Roman"/>
                <w:lang w:val="ro-RO"/>
              </w:rPr>
              <w:t>„Politica externă a Uniunii Europene”</w:t>
            </w:r>
            <w:r w:rsidRPr="00A53901">
              <w:rPr>
                <w:rFonts w:ascii="Times New Roman" w:hAnsi="Times New Roman"/>
                <w:lang w:val="ro-RO"/>
              </w:rPr>
              <w:t xml:space="preserve"> stimulează formarea competențelor transversale ale studenților în următoarele feluri: dezvoltarea abilităților de a comunicare într-o limbă de circulație internațională (prin indicarea spre lectură </w:t>
            </w:r>
            <w:r>
              <w:rPr>
                <w:rFonts w:ascii="Times New Roman" w:hAnsi="Times New Roman"/>
                <w:lang w:val="ro-RO"/>
              </w:rPr>
              <w:t xml:space="preserve">a unor </w:t>
            </w:r>
            <w:r>
              <w:rPr>
                <w:rFonts w:ascii="Times New Roman" w:hAnsi="Times New Roman"/>
                <w:lang w:val="ro-RO"/>
              </w:rPr>
              <w:t>lucrări</w:t>
            </w:r>
            <w:r>
              <w:rPr>
                <w:rFonts w:ascii="Times New Roman" w:hAnsi="Times New Roman"/>
                <w:lang w:val="ro-RO"/>
              </w:rPr>
              <w:t xml:space="preserve"> științifice</w:t>
            </w:r>
            <w:r w:rsidRPr="00A53901">
              <w:rPr>
                <w:rFonts w:ascii="Times New Roman" w:hAnsi="Times New Roman"/>
                <w:lang w:val="ro-RO"/>
              </w:rPr>
              <w:t xml:space="preserve"> în limba engleză), gândirea critică (capacitatea de a analiza</w:t>
            </w:r>
            <w:r>
              <w:rPr>
                <w:rFonts w:ascii="Times New Roman" w:hAnsi="Times New Roman"/>
                <w:lang w:val="ro-RO"/>
              </w:rPr>
              <w:t xml:space="preserve"> și evalua</w:t>
            </w:r>
            <w:r w:rsidRPr="00A53901">
              <w:rPr>
                <w:rFonts w:ascii="Times New Roman" w:hAnsi="Times New Roman"/>
                <w:lang w:val="ro-RO"/>
              </w:rPr>
              <w:t xml:space="preserve"> în mod autonom </w:t>
            </w:r>
            <w:r>
              <w:rPr>
                <w:rFonts w:ascii="Times New Roman" w:hAnsi="Times New Roman"/>
                <w:lang w:val="ro-RO"/>
              </w:rPr>
              <w:t xml:space="preserve">politica externă a UE </w:t>
            </w:r>
            <w:r>
              <w:rPr>
                <w:rFonts w:ascii="Times New Roman" w:hAnsi="Times New Roman"/>
                <w:lang w:val="ro-RO"/>
              </w:rPr>
              <w:t>în</w:t>
            </w:r>
            <w:r>
              <w:rPr>
                <w:rFonts w:ascii="Times New Roman" w:hAnsi="Times New Roman"/>
                <w:lang w:val="ro-RO"/>
              </w:rPr>
              <w:t xml:space="preserve"> contextul transformărilor contemporane ale mediului internațional, și </w:t>
            </w:r>
            <w:r w:rsidRPr="00A53901">
              <w:rPr>
                <w:rFonts w:ascii="Times New Roman" w:hAnsi="Times New Roman"/>
                <w:lang w:val="ro-RO"/>
              </w:rPr>
              <w:t xml:space="preserve">abilitățile de </w:t>
            </w:r>
            <w:r>
              <w:rPr>
                <w:rFonts w:ascii="Times New Roman" w:hAnsi="Times New Roman"/>
                <w:lang w:val="ro-RO"/>
              </w:rPr>
              <w:t xml:space="preserve">comunicare orală </w:t>
            </w:r>
            <w:r w:rsidRPr="00A53901">
              <w:rPr>
                <w:rFonts w:ascii="Times New Roman" w:hAnsi="Times New Roman"/>
                <w:lang w:val="ro-RO"/>
              </w:rPr>
              <w:t xml:space="preserve">(prin </w:t>
            </w:r>
            <w:r>
              <w:rPr>
                <w:rFonts w:ascii="Times New Roman" w:hAnsi="Times New Roman"/>
                <w:lang w:val="ro-RO"/>
              </w:rPr>
              <w:t>discuțiile și intervențiile tematice la seminar).</w:t>
            </w:r>
            <w:bookmarkStart w:id="0" w:name="_GoBack"/>
            <w:bookmarkEnd w:id="0"/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C3782B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F19C7" w:rsidRPr="00BD45D4" w:rsidRDefault="00BD45D4" w:rsidP="00166BA1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BD45D4">
              <w:rPr>
                <w:rFonts w:ascii="Times New Roman" w:hAnsi="Times New Roman"/>
                <w:lang w:val="ro-RO"/>
              </w:rPr>
              <w:t>Introducerea studenţilor în studiul principalelor teme, teorii, concepte şi dimensiuni ale analizei politicii externe europene.</w:t>
            </w:r>
          </w:p>
        </w:tc>
      </w:tr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D44EB1" w:rsidRPr="00D44EB1" w:rsidRDefault="0079137F" w:rsidP="005628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Cunoaşterea evoluţiei obiectivelor</w:t>
            </w:r>
            <w:r w:rsidR="0004131D">
              <w:rPr>
                <w:rFonts w:ascii="Times New Roman" w:hAnsi="Times New Roman"/>
                <w:lang w:val="ro-RO"/>
              </w:rPr>
              <w:t>, strategiilor, dimensiunilor</w:t>
            </w:r>
            <w:r>
              <w:rPr>
                <w:rFonts w:ascii="Times New Roman" w:hAnsi="Times New Roman"/>
                <w:lang w:val="ro-RO"/>
              </w:rPr>
              <w:t xml:space="preserve"> şi mecanismelor decizionale în domeniul politicii externe europene</w:t>
            </w:r>
          </w:p>
          <w:p w:rsidR="009F19C7" w:rsidRDefault="0004131D" w:rsidP="0004131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Cunoaşterea</w:t>
            </w:r>
            <w:r w:rsidR="00D44EB1" w:rsidRPr="00D44EB1">
              <w:rPr>
                <w:rFonts w:ascii="Times New Roman" w:hAnsi="Times New Roman"/>
                <w:lang w:val="ro-RO"/>
              </w:rPr>
              <w:t xml:space="preserve"> rolul</w:t>
            </w:r>
            <w:r w:rsidR="00D44EB1">
              <w:rPr>
                <w:rFonts w:ascii="Times New Roman" w:hAnsi="Times New Roman"/>
                <w:lang w:val="ro-RO"/>
              </w:rPr>
              <w:t>ui</w:t>
            </w:r>
            <w:r w:rsidR="00D44EB1" w:rsidRPr="00D44EB1">
              <w:rPr>
                <w:rFonts w:ascii="Times New Roman" w:hAnsi="Times New Roman"/>
                <w:lang w:val="ro-RO"/>
              </w:rPr>
              <w:t xml:space="preserve"> instituţiilor </w:t>
            </w:r>
            <w:r>
              <w:rPr>
                <w:rFonts w:ascii="Times New Roman" w:hAnsi="Times New Roman"/>
                <w:lang w:val="ro-RO"/>
              </w:rPr>
              <w:t>şi agenţiilor implicate</w:t>
            </w:r>
            <w:r w:rsidR="00D44EB1">
              <w:rPr>
                <w:rFonts w:ascii="Times New Roman" w:hAnsi="Times New Roman"/>
                <w:lang w:val="ro-RO"/>
              </w:rPr>
              <w:t xml:space="preserve"> </w:t>
            </w:r>
            <w:r w:rsidR="00D44EB1" w:rsidRPr="00D44EB1">
              <w:rPr>
                <w:rFonts w:ascii="Times New Roman" w:hAnsi="Times New Roman"/>
                <w:lang w:val="ro-RO"/>
              </w:rPr>
              <w:t>în</w:t>
            </w:r>
            <w:r>
              <w:rPr>
                <w:rFonts w:ascii="Times New Roman" w:hAnsi="Times New Roman"/>
                <w:lang w:val="ro-RO"/>
              </w:rPr>
              <w:t xml:space="preserve"> procesul decizional al politicii externe europene</w:t>
            </w:r>
            <w:r w:rsidR="00D44EB1" w:rsidRPr="00D44EB1">
              <w:rPr>
                <w:rFonts w:ascii="Times New Roman" w:hAnsi="Times New Roman"/>
                <w:lang w:val="ro-RO"/>
              </w:rPr>
              <w:t>.</w:t>
            </w:r>
          </w:p>
          <w:p w:rsidR="0004131D" w:rsidRPr="00562868" w:rsidRDefault="0004131D" w:rsidP="0004131D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Identificarea principalelor teorii explicative ale politicii externe europene.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1"/>
        <w:gridCol w:w="2700"/>
        <w:gridCol w:w="4566"/>
      </w:tblGrid>
      <w:tr w:rsidR="009F19C7" w:rsidRPr="00307A66" w:rsidTr="00D402BB">
        <w:tc>
          <w:tcPr>
            <w:tcW w:w="2941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700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566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5335FB" w:rsidRPr="00307A66" w:rsidTr="00D402BB">
        <w:tc>
          <w:tcPr>
            <w:tcW w:w="2941" w:type="dxa"/>
            <w:shd w:val="clear" w:color="auto" w:fill="auto"/>
          </w:tcPr>
          <w:p w:rsidR="005335FB" w:rsidRPr="00660810" w:rsidRDefault="005335FB" w:rsidP="0023140E">
            <w:pPr>
              <w:pStyle w:val="NoSpacing"/>
              <w:ind w:left="34"/>
              <w:rPr>
                <w:rFonts w:ascii="Times New Roman" w:hAnsi="Times New Roman"/>
                <w:lang w:val="ro-RO"/>
              </w:rPr>
            </w:pPr>
            <w:r w:rsidRPr="00660810">
              <w:rPr>
                <w:rFonts w:ascii="Times New Roman" w:hAnsi="Times New Roman"/>
                <w:lang w:val="ro-RO"/>
              </w:rPr>
              <w:t xml:space="preserve">1. </w:t>
            </w:r>
            <w:r w:rsidR="0023140E">
              <w:rPr>
                <w:rFonts w:ascii="Times New Roman" w:hAnsi="Times New Roman"/>
                <w:lang w:val="ro-RO"/>
              </w:rPr>
              <w:t>P</w:t>
            </w:r>
            <w:r w:rsidR="00660810" w:rsidRPr="00660810">
              <w:rPr>
                <w:rFonts w:ascii="Times New Roman" w:hAnsi="Times New Roman"/>
                <w:lang w:val="ro-RO"/>
              </w:rPr>
              <w:t>olitic</w:t>
            </w:r>
            <w:r w:rsidR="0023140E">
              <w:rPr>
                <w:rFonts w:ascii="Times New Roman" w:hAnsi="Times New Roman"/>
                <w:lang w:val="ro-RO"/>
              </w:rPr>
              <w:t>a</w:t>
            </w:r>
            <w:r w:rsidR="00660810" w:rsidRPr="00660810">
              <w:rPr>
                <w:rFonts w:ascii="Times New Roman" w:hAnsi="Times New Roman"/>
                <w:lang w:val="ro-RO"/>
              </w:rPr>
              <w:t xml:space="preserve"> extern</w:t>
            </w:r>
            <w:r w:rsidR="0023140E">
              <w:rPr>
                <w:rFonts w:ascii="Times New Roman" w:hAnsi="Times New Roman"/>
                <w:lang w:val="ro-RO"/>
              </w:rPr>
              <w:t>ă</w:t>
            </w:r>
            <w:r w:rsidR="00660810" w:rsidRPr="00660810">
              <w:rPr>
                <w:rFonts w:ascii="Times New Roman" w:hAnsi="Times New Roman"/>
                <w:lang w:val="ro-RO"/>
              </w:rPr>
              <w:t xml:space="preserve"> a UE. </w:t>
            </w:r>
            <w:r w:rsidR="0023140E">
              <w:rPr>
                <w:rFonts w:ascii="Times New Roman" w:hAnsi="Times New Roman"/>
                <w:lang w:val="ro-RO"/>
              </w:rPr>
              <w:t>Perspective t</w:t>
            </w:r>
            <w:r w:rsidR="00660810" w:rsidRPr="00660810">
              <w:rPr>
                <w:rFonts w:ascii="Times New Roman" w:hAnsi="Times New Roman"/>
                <w:lang w:val="ro-RO"/>
              </w:rPr>
              <w:t>eor</w:t>
            </w:r>
            <w:r w:rsidR="0023140E">
              <w:rPr>
                <w:rFonts w:ascii="Times New Roman" w:hAnsi="Times New Roman"/>
                <w:lang w:val="ro-RO"/>
              </w:rPr>
              <w:t>etice și metode de analiză</w:t>
            </w:r>
            <w:r w:rsidR="004B7406">
              <w:rPr>
                <w:rFonts w:ascii="Times New Roman" w:hAnsi="Times New Roman"/>
                <w:lang w:val="ro-RO"/>
              </w:rPr>
              <w:t xml:space="preserve"> </w:t>
            </w:r>
            <w:r w:rsidR="004B7406" w:rsidRPr="00AF08E6">
              <w:rPr>
                <w:rFonts w:ascii="Times New Roman" w:hAnsi="Times New Roman"/>
                <w:b/>
                <w:lang w:val="ro-RO"/>
              </w:rPr>
              <w:t>(2 ore)</w:t>
            </w:r>
          </w:p>
        </w:tc>
        <w:tc>
          <w:tcPr>
            <w:tcW w:w="2700" w:type="dxa"/>
            <w:shd w:val="clear" w:color="auto" w:fill="auto"/>
          </w:tcPr>
          <w:p w:rsidR="005335FB" w:rsidRPr="00E218CD" w:rsidRDefault="005335FB" w:rsidP="00EE7824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566" w:type="dxa"/>
            <w:shd w:val="clear" w:color="auto" w:fill="auto"/>
          </w:tcPr>
          <w:p w:rsidR="005335FB" w:rsidRPr="00562868" w:rsidRDefault="005335FB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751D4" w:rsidRPr="002053CA" w:rsidTr="00D402BB">
        <w:tc>
          <w:tcPr>
            <w:tcW w:w="2941" w:type="dxa"/>
            <w:shd w:val="clear" w:color="auto" w:fill="auto"/>
          </w:tcPr>
          <w:p w:rsidR="008751D4" w:rsidRPr="00660810" w:rsidRDefault="008751D4" w:rsidP="004B2E5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60810">
              <w:rPr>
                <w:rFonts w:ascii="Times New Roman" w:hAnsi="Times New Roman"/>
                <w:lang w:val="ro-RO"/>
              </w:rPr>
              <w:t xml:space="preserve">2. </w:t>
            </w:r>
            <w:r w:rsidR="00E218CD">
              <w:rPr>
                <w:rFonts w:ascii="Times New Roman" w:hAnsi="Times New Roman"/>
                <w:lang w:val="ro-RO"/>
              </w:rPr>
              <w:t xml:space="preserve">Evoluția </w:t>
            </w:r>
            <w:r w:rsidR="004B2E5F">
              <w:rPr>
                <w:rFonts w:ascii="Times New Roman" w:hAnsi="Times New Roman"/>
                <w:lang w:val="ro-RO"/>
              </w:rPr>
              <w:t xml:space="preserve">multidimensională a </w:t>
            </w:r>
            <w:r w:rsidR="00E218CD">
              <w:rPr>
                <w:rFonts w:ascii="Times New Roman" w:hAnsi="Times New Roman"/>
                <w:lang w:val="ro-RO"/>
              </w:rPr>
              <w:t>politicii externe a UE</w:t>
            </w:r>
            <w:r w:rsidR="007221E5">
              <w:rPr>
                <w:rFonts w:ascii="Times New Roman" w:hAnsi="Times New Roman"/>
                <w:lang w:val="ro-RO"/>
              </w:rPr>
              <w:t xml:space="preserve"> </w:t>
            </w:r>
            <w:r w:rsidR="004B7406" w:rsidRPr="00AF08E6">
              <w:rPr>
                <w:rFonts w:ascii="Times New Roman" w:hAnsi="Times New Roman"/>
                <w:b/>
                <w:lang w:val="ro-RO"/>
              </w:rPr>
              <w:t>(2 ore)</w:t>
            </w:r>
          </w:p>
        </w:tc>
        <w:tc>
          <w:tcPr>
            <w:tcW w:w="2700" w:type="dxa"/>
            <w:shd w:val="clear" w:color="auto" w:fill="auto"/>
          </w:tcPr>
          <w:p w:rsidR="008751D4" w:rsidRPr="00562868" w:rsidRDefault="008751D4" w:rsidP="00E936E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566" w:type="dxa"/>
            <w:shd w:val="clear" w:color="auto" w:fill="auto"/>
          </w:tcPr>
          <w:p w:rsidR="008751D4" w:rsidRPr="00562868" w:rsidRDefault="008751D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751D4" w:rsidRPr="00307A66" w:rsidTr="00D402BB">
        <w:tc>
          <w:tcPr>
            <w:tcW w:w="2941" w:type="dxa"/>
            <w:shd w:val="clear" w:color="auto" w:fill="auto"/>
          </w:tcPr>
          <w:p w:rsidR="008751D4" w:rsidRPr="00660810" w:rsidRDefault="004D1313" w:rsidP="004B2E5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8751D4" w:rsidRPr="00660810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A74EA9">
              <w:rPr>
                <w:rFonts w:ascii="Times New Roman" w:hAnsi="Times New Roman"/>
                <w:lang w:val="ro-RO"/>
              </w:rPr>
              <w:t xml:space="preserve">Dimensiunile </w:t>
            </w:r>
            <w:r w:rsidR="004B2E5F">
              <w:rPr>
                <w:rFonts w:ascii="Times New Roman" w:hAnsi="Times New Roman"/>
                <w:lang w:val="ro-RO"/>
              </w:rPr>
              <w:t>și direcțiile de analiză ale</w:t>
            </w:r>
            <w:r w:rsidR="00A74EA9">
              <w:rPr>
                <w:rFonts w:ascii="Times New Roman" w:hAnsi="Times New Roman"/>
                <w:lang w:val="ro-RO"/>
              </w:rPr>
              <w:t xml:space="preserve"> politicii externe a UE. </w:t>
            </w:r>
            <w:r w:rsidR="00984DCB" w:rsidRPr="00AF08E6">
              <w:rPr>
                <w:rFonts w:ascii="Times New Roman" w:hAnsi="Times New Roman"/>
                <w:b/>
                <w:lang w:val="ro-RO"/>
              </w:rPr>
              <w:t>(</w:t>
            </w:r>
            <w:r w:rsidR="007221E5" w:rsidRPr="00AF08E6">
              <w:rPr>
                <w:rFonts w:ascii="Times New Roman" w:hAnsi="Times New Roman"/>
                <w:b/>
                <w:lang w:val="ro-RO"/>
              </w:rPr>
              <w:t>4</w:t>
            </w:r>
            <w:r w:rsidR="00984DCB" w:rsidRPr="00AF08E6">
              <w:rPr>
                <w:rFonts w:ascii="Times New Roman" w:hAnsi="Times New Roman"/>
                <w:b/>
                <w:lang w:val="ro-RO"/>
              </w:rPr>
              <w:t xml:space="preserve"> ore)</w:t>
            </w:r>
          </w:p>
        </w:tc>
        <w:tc>
          <w:tcPr>
            <w:tcW w:w="2700" w:type="dxa"/>
            <w:shd w:val="clear" w:color="auto" w:fill="auto"/>
          </w:tcPr>
          <w:p w:rsidR="008751D4" w:rsidRPr="00562868" w:rsidRDefault="008751D4" w:rsidP="00E936E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566" w:type="dxa"/>
            <w:shd w:val="clear" w:color="auto" w:fill="auto"/>
          </w:tcPr>
          <w:p w:rsidR="008751D4" w:rsidRPr="00562868" w:rsidRDefault="008751D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751D4" w:rsidRPr="00307A66" w:rsidTr="00D402BB">
        <w:tc>
          <w:tcPr>
            <w:tcW w:w="2941" w:type="dxa"/>
            <w:shd w:val="clear" w:color="auto" w:fill="auto"/>
          </w:tcPr>
          <w:p w:rsidR="008751D4" w:rsidRPr="00660810" w:rsidRDefault="004D1313" w:rsidP="00AF08E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8751D4" w:rsidRPr="00660810">
              <w:rPr>
                <w:rFonts w:ascii="Times New Roman" w:hAnsi="Times New Roman"/>
                <w:lang w:val="ro-RO"/>
              </w:rPr>
              <w:t xml:space="preserve">. </w:t>
            </w:r>
            <w:r w:rsidR="00865069">
              <w:rPr>
                <w:rFonts w:ascii="Times New Roman" w:hAnsi="Times New Roman"/>
                <w:lang w:val="ro-RO"/>
              </w:rPr>
              <w:t>P</w:t>
            </w:r>
            <w:r w:rsidR="00865069" w:rsidRPr="00660810">
              <w:rPr>
                <w:rFonts w:ascii="Times New Roman" w:hAnsi="Times New Roman"/>
                <w:lang w:val="ro-RO"/>
              </w:rPr>
              <w:t>olitic</w:t>
            </w:r>
            <w:r w:rsidR="00865069">
              <w:rPr>
                <w:rFonts w:ascii="Times New Roman" w:hAnsi="Times New Roman"/>
                <w:lang w:val="ro-RO"/>
              </w:rPr>
              <w:t>a</w:t>
            </w:r>
            <w:r w:rsidR="00865069" w:rsidRPr="00660810">
              <w:rPr>
                <w:rFonts w:ascii="Times New Roman" w:hAnsi="Times New Roman"/>
                <w:lang w:val="ro-RO"/>
              </w:rPr>
              <w:t xml:space="preserve"> extern</w:t>
            </w:r>
            <w:r w:rsidR="00865069">
              <w:rPr>
                <w:rFonts w:ascii="Times New Roman" w:hAnsi="Times New Roman"/>
                <w:lang w:val="ro-RO"/>
              </w:rPr>
              <w:t>ă</w:t>
            </w:r>
            <w:r w:rsidR="00865069" w:rsidRPr="00660810">
              <w:rPr>
                <w:rFonts w:ascii="Times New Roman" w:hAnsi="Times New Roman"/>
                <w:lang w:val="ro-RO"/>
              </w:rPr>
              <w:t xml:space="preserve"> a UE. </w:t>
            </w:r>
            <w:r w:rsidR="00865069">
              <w:rPr>
                <w:rFonts w:ascii="Times New Roman" w:hAnsi="Times New Roman"/>
                <w:lang w:val="ro-RO"/>
              </w:rPr>
              <w:t>I</w:t>
            </w:r>
            <w:r w:rsidR="00865069" w:rsidRPr="00CF7128">
              <w:rPr>
                <w:rFonts w:ascii="Times New Roman" w:hAnsi="Times New Roman"/>
                <w:sz w:val="24"/>
                <w:szCs w:val="24"/>
                <w:lang w:val="ro-RO"/>
              </w:rPr>
              <w:t>nstitutii, actori, mecanisme decizionale</w:t>
            </w:r>
            <w:r w:rsidR="00AF08E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221E5" w:rsidRPr="00AF08E6">
              <w:rPr>
                <w:rFonts w:ascii="Times New Roman" w:hAnsi="Times New Roman"/>
                <w:b/>
                <w:lang w:val="ro-RO"/>
              </w:rPr>
              <w:t>(2 ore)</w:t>
            </w:r>
          </w:p>
        </w:tc>
        <w:tc>
          <w:tcPr>
            <w:tcW w:w="2700" w:type="dxa"/>
            <w:shd w:val="clear" w:color="auto" w:fill="auto"/>
          </w:tcPr>
          <w:p w:rsidR="008751D4" w:rsidRPr="00562868" w:rsidRDefault="008751D4" w:rsidP="00E936E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566" w:type="dxa"/>
            <w:shd w:val="clear" w:color="auto" w:fill="auto"/>
          </w:tcPr>
          <w:p w:rsidR="008751D4" w:rsidRPr="00562868" w:rsidRDefault="008751D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751D4" w:rsidRPr="00307A66" w:rsidTr="00D402BB">
        <w:tc>
          <w:tcPr>
            <w:tcW w:w="2941" w:type="dxa"/>
            <w:shd w:val="clear" w:color="auto" w:fill="auto"/>
          </w:tcPr>
          <w:p w:rsidR="008751D4" w:rsidRPr="00660810" w:rsidRDefault="004D1313" w:rsidP="008A432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8751D4" w:rsidRPr="00660810">
              <w:rPr>
                <w:rFonts w:ascii="Times New Roman" w:hAnsi="Times New Roman"/>
                <w:lang w:val="ro-RO"/>
              </w:rPr>
              <w:t>.</w:t>
            </w:r>
            <w:r w:rsidR="004B7406">
              <w:rPr>
                <w:rFonts w:ascii="Times New Roman" w:hAnsi="Times New Roman"/>
                <w:lang w:val="ro-RO"/>
              </w:rPr>
              <w:t xml:space="preserve"> </w:t>
            </w:r>
            <w:r w:rsidR="008A4329">
              <w:rPr>
                <w:rFonts w:ascii="Times New Roman" w:hAnsi="Times New Roman"/>
                <w:lang w:val="ro-RO"/>
              </w:rPr>
              <w:t>Specificul</w:t>
            </w:r>
            <w:r w:rsidR="007221E5">
              <w:rPr>
                <w:rFonts w:ascii="Times New Roman" w:hAnsi="Times New Roman"/>
                <w:lang w:val="ro-RO"/>
              </w:rPr>
              <w:t xml:space="preserve"> politicii externe a UE. </w:t>
            </w:r>
            <w:r w:rsidR="008A4329">
              <w:rPr>
                <w:rFonts w:ascii="Times New Roman" w:hAnsi="Times New Roman"/>
                <w:lang w:val="ro-RO"/>
              </w:rPr>
              <w:t xml:space="preserve">Proiecții conflictuale ale identității europene în domeiul relațiilor externe. </w:t>
            </w:r>
            <w:r w:rsidR="007221E5" w:rsidRPr="00AF08E6">
              <w:rPr>
                <w:rFonts w:ascii="Times New Roman" w:hAnsi="Times New Roman"/>
                <w:b/>
                <w:lang w:val="ro-RO"/>
              </w:rPr>
              <w:t>(</w:t>
            </w:r>
            <w:r w:rsidR="004B7406" w:rsidRPr="00AF08E6">
              <w:rPr>
                <w:rFonts w:ascii="Times New Roman" w:hAnsi="Times New Roman"/>
                <w:b/>
                <w:lang w:val="ro-RO"/>
              </w:rPr>
              <w:t>2 ore)</w:t>
            </w:r>
            <w:r w:rsidR="008A4329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8751D4" w:rsidRPr="00562868" w:rsidRDefault="008751D4" w:rsidP="00E936E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demonstraţia.</w:t>
            </w:r>
          </w:p>
        </w:tc>
        <w:tc>
          <w:tcPr>
            <w:tcW w:w="4566" w:type="dxa"/>
            <w:shd w:val="clear" w:color="auto" w:fill="auto"/>
          </w:tcPr>
          <w:p w:rsidR="008751D4" w:rsidRPr="00562868" w:rsidRDefault="008751D4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751D4" w:rsidRPr="00307A66" w:rsidTr="00DB3728">
        <w:tc>
          <w:tcPr>
            <w:tcW w:w="10207" w:type="dxa"/>
            <w:gridSpan w:val="3"/>
            <w:shd w:val="clear" w:color="auto" w:fill="auto"/>
          </w:tcPr>
          <w:p w:rsidR="008751D4" w:rsidRDefault="008751D4" w:rsidP="00283C8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83C83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4C610E" w:rsidRPr="004C610E" w:rsidRDefault="004C610E" w:rsidP="004C610E">
            <w:pPr>
              <w:pStyle w:val="NoSpacing"/>
              <w:ind w:left="314" w:hanging="284"/>
              <w:rPr>
                <w:rFonts w:ascii="Times New Roman" w:hAnsi="Times New Roman"/>
                <w:b/>
                <w:lang w:val="ro-RO"/>
              </w:rPr>
            </w:pPr>
            <w:r w:rsidRPr="004C610E">
              <w:rPr>
                <w:rFonts w:ascii="Times New Roman" w:hAnsi="Times New Roman"/>
                <w:lang w:eastAsia="ro-RO"/>
              </w:rPr>
              <w:t>A</w:t>
            </w:r>
            <w:r>
              <w:rPr>
                <w:rFonts w:ascii="Times New Roman" w:hAnsi="Times New Roman"/>
                <w:lang w:eastAsia="ro-RO"/>
              </w:rPr>
              <w:t xml:space="preserve">ggestam, </w:t>
            </w:r>
            <w:r w:rsidRPr="004C610E">
              <w:rPr>
                <w:rFonts w:ascii="Times New Roman" w:hAnsi="Times New Roman"/>
                <w:lang w:eastAsia="ro-RO"/>
              </w:rPr>
              <w:t>L</w:t>
            </w:r>
            <w:r>
              <w:rPr>
                <w:rFonts w:ascii="Times New Roman" w:hAnsi="Times New Roman"/>
                <w:lang w:eastAsia="ro-RO"/>
              </w:rPr>
              <w:t>isbeth</w:t>
            </w:r>
            <w:r w:rsidRPr="004C610E">
              <w:rPr>
                <w:rFonts w:ascii="Times New Roman" w:hAnsi="Times New Roman"/>
                <w:lang w:eastAsia="ro-RO"/>
              </w:rPr>
              <w:t xml:space="preserve"> </w:t>
            </w:r>
            <w:r>
              <w:rPr>
                <w:rFonts w:ascii="Times New Roman" w:hAnsi="Times New Roman"/>
                <w:lang w:eastAsia="ro-RO"/>
              </w:rPr>
              <w:t xml:space="preserve">și </w:t>
            </w:r>
            <w:r w:rsidRPr="004C610E">
              <w:rPr>
                <w:rFonts w:ascii="Times New Roman" w:hAnsi="Times New Roman"/>
                <w:lang w:eastAsia="ro-RO"/>
              </w:rPr>
              <w:t>M</w:t>
            </w:r>
            <w:r>
              <w:rPr>
                <w:rFonts w:ascii="Times New Roman" w:hAnsi="Times New Roman"/>
                <w:lang w:eastAsia="ro-RO"/>
              </w:rPr>
              <w:t>arkus</w:t>
            </w:r>
            <w:r w:rsidRPr="004C610E">
              <w:rPr>
                <w:rFonts w:ascii="Times New Roman" w:hAnsi="Times New Roman"/>
                <w:lang w:eastAsia="ro-RO"/>
              </w:rPr>
              <w:t xml:space="preserve"> J</w:t>
            </w:r>
            <w:r>
              <w:rPr>
                <w:rFonts w:ascii="Times New Roman" w:hAnsi="Times New Roman"/>
                <w:lang w:eastAsia="ro-RO"/>
              </w:rPr>
              <w:t>ohansson</w:t>
            </w:r>
            <w:r w:rsidRPr="004C610E">
              <w:rPr>
                <w:rFonts w:ascii="Times New Roman" w:hAnsi="Times New Roman"/>
                <w:lang w:eastAsia="ro-RO"/>
              </w:rPr>
              <w:t xml:space="preserve">, </w:t>
            </w:r>
            <w:r>
              <w:rPr>
                <w:rFonts w:ascii="Times New Roman" w:hAnsi="Times New Roman"/>
                <w:lang w:eastAsia="ro-RO"/>
              </w:rPr>
              <w:t>„</w:t>
            </w:r>
            <w:r w:rsidRPr="004C610E">
              <w:rPr>
                <w:rFonts w:ascii="Times New Roman" w:hAnsi="Times New Roman"/>
                <w:lang w:eastAsia="ro-RO"/>
              </w:rPr>
              <w:t>The Leadership Paradox in EU Foreign Policy</w:t>
            </w:r>
            <w:r>
              <w:rPr>
                <w:rFonts w:ascii="Times New Roman" w:hAnsi="Times New Roman"/>
                <w:lang w:eastAsia="ro-RO"/>
              </w:rPr>
              <w:t>”</w:t>
            </w:r>
            <w:r w:rsidRPr="004C610E">
              <w:rPr>
                <w:rFonts w:ascii="Times New Roman" w:hAnsi="Times New Roman"/>
                <w:lang w:eastAsia="ro-RO"/>
              </w:rPr>
              <w:t xml:space="preserve">, </w:t>
            </w:r>
            <w:r w:rsidRPr="004C610E">
              <w:rPr>
                <w:rFonts w:ascii="Times New Roman" w:hAnsi="Times New Roman"/>
                <w:i/>
                <w:lang w:eastAsia="ro-RO"/>
              </w:rPr>
              <w:t>JCMS</w:t>
            </w:r>
            <w:r w:rsidRPr="004C610E">
              <w:rPr>
                <w:rFonts w:ascii="Times New Roman" w:hAnsi="Times New Roman"/>
                <w:lang w:eastAsia="ro-RO"/>
              </w:rPr>
              <w:t xml:space="preserve">, </w:t>
            </w:r>
            <w:r>
              <w:rPr>
                <w:rFonts w:ascii="Times New Roman" w:hAnsi="Times New Roman"/>
                <w:lang w:eastAsia="ro-RO"/>
              </w:rPr>
              <w:t>v</w:t>
            </w:r>
            <w:r w:rsidRPr="004C610E">
              <w:rPr>
                <w:rFonts w:ascii="Times New Roman" w:hAnsi="Times New Roman"/>
                <w:lang w:eastAsia="ro-RO"/>
              </w:rPr>
              <w:t>ol</w:t>
            </w:r>
            <w:r w:rsidR="008269A5">
              <w:rPr>
                <w:rFonts w:ascii="Times New Roman" w:hAnsi="Times New Roman"/>
                <w:lang w:eastAsia="ro-RO"/>
              </w:rPr>
              <w:t xml:space="preserve">. 55, no. </w:t>
            </w:r>
            <w:r w:rsidRPr="004C610E">
              <w:rPr>
                <w:rFonts w:ascii="Times New Roman" w:hAnsi="Times New Roman"/>
                <w:lang w:eastAsia="ro-RO"/>
              </w:rPr>
              <w:t>6</w:t>
            </w:r>
            <w:r>
              <w:rPr>
                <w:rFonts w:ascii="Times New Roman" w:hAnsi="Times New Roman"/>
                <w:lang w:eastAsia="ro-RO"/>
              </w:rPr>
              <w:t xml:space="preserve"> (2017), </w:t>
            </w:r>
            <w:r w:rsidRPr="004C610E">
              <w:rPr>
                <w:rFonts w:ascii="Times New Roman" w:hAnsi="Times New Roman"/>
                <w:lang w:eastAsia="ro-RO"/>
              </w:rPr>
              <w:t xml:space="preserve">pp. 1203–1220. </w:t>
            </w:r>
          </w:p>
          <w:p w:rsidR="00FA5E92" w:rsidRPr="00283C83" w:rsidRDefault="00FA5E92" w:rsidP="008D1DB0">
            <w:pPr>
              <w:pStyle w:val="NoSpacing"/>
              <w:ind w:left="314" w:hanging="314"/>
              <w:jc w:val="both"/>
              <w:rPr>
                <w:rFonts w:ascii="Times New Roman" w:hAnsi="Times New Roman"/>
                <w:b/>
                <w:lang w:val="ro-RO"/>
              </w:rPr>
            </w:pPr>
            <w:r w:rsidRPr="004C610E">
              <w:rPr>
                <w:rFonts w:ascii="Times New Roman" w:hAnsi="Times New Roman"/>
                <w:lang w:val="ro-RO"/>
              </w:rPr>
              <w:t>Bindi, Federiga (coord.)</w:t>
            </w:r>
            <w:r w:rsidR="008D1DB0" w:rsidRPr="004C610E">
              <w:rPr>
                <w:rFonts w:ascii="Times New Roman" w:hAnsi="Times New Roman"/>
                <w:lang w:val="ro-RO"/>
              </w:rPr>
              <w:t>,</w:t>
            </w:r>
            <w:r w:rsidRPr="004C610E">
              <w:rPr>
                <w:rFonts w:ascii="Times New Roman" w:hAnsi="Times New Roman"/>
                <w:lang w:val="ro-RO"/>
              </w:rPr>
              <w:t xml:space="preserve"> </w:t>
            </w:r>
            <w:r w:rsidRPr="004C610E">
              <w:rPr>
                <w:rFonts w:ascii="Times New Roman" w:hAnsi="Times New Roman"/>
                <w:i/>
                <w:lang w:val="ro-RO"/>
              </w:rPr>
              <w:t>The Foreign Policy of</w:t>
            </w:r>
            <w:r w:rsidRPr="008D1DB0">
              <w:rPr>
                <w:rFonts w:ascii="Times New Roman" w:hAnsi="Times New Roman"/>
                <w:i/>
                <w:lang w:val="ro-RO"/>
              </w:rPr>
              <w:t xml:space="preserve"> the European Union</w:t>
            </w:r>
            <w:r w:rsidRPr="00FA5E92">
              <w:rPr>
                <w:rFonts w:ascii="Times New Roman" w:hAnsi="Times New Roman"/>
                <w:lang w:val="ro-RO"/>
              </w:rPr>
              <w:t xml:space="preserve">, </w:t>
            </w:r>
            <w:r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>B</w:t>
            </w:r>
            <w:r w:rsidRPr="00FA5E92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 xml:space="preserve">rookings </w:t>
            </w:r>
            <w:r w:rsidR="008D1DB0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>I</w:t>
            </w:r>
            <w:r w:rsidRPr="00FA5E92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 xml:space="preserve">nstitution </w:t>
            </w:r>
            <w:r w:rsidR="008D1DB0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>P</w:t>
            </w:r>
            <w:r w:rsidRPr="00FA5E92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>ress,</w:t>
            </w:r>
            <w:r w:rsidR="008D1DB0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 xml:space="preserve"> W</w:t>
            </w:r>
            <w:r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>ashington D.C</w:t>
            </w:r>
            <w:r w:rsidRPr="00FA5E92">
              <w:rPr>
                <w:rFonts w:ascii="Minion-RegularSC" w:hAnsi="Minion-RegularSC" w:cs="Minion-RegularSC"/>
                <w:sz w:val="24"/>
                <w:szCs w:val="24"/>
                <w:lang w:eastAsia="ro-RO"/>
              </w:rPr>
              <w:t>.</w:t>
            </w:r>
            <w:r w:rsidRPr="00FA5E92">
              <w:rPr>
                <w:rFonts w:ascii="Times New Roman" w:hAnsi="Times New Roman"/>
                <w:lang w:val="ro-RO"/>
              </w:rPr>
              <w:t>, 2010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 xml:space="preserve">Bretherton, Charlotte şi John Vogler, </w:t>
            </w:r>
            <w:r w:rsidRPr="00283C83">
              <w:rPr>
                <w:rFonts w:ascii="Times New Roman" w:hAnsi="Times New Roman"/>
                <w:i/>
                <w:lang w:val="ro-RO"/>
              </w:rPr>
              <w:t>The EU as a Global Actor</w:t>
            </w:r>
            <w:r w:rsidRPr="00283C83">
              <w:rPr>
                <w:rFonts w:ascii="Times New Roman" w:hAnsi="Times New Roman"/>
                <w:lang w:val="ro-RO"/>
              </w:rPr>
              <w:t>, Routledge, London – New York, 2006.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 xml:space="preserve">Carbone, Maurizio, </w:t>
            </w:r>
            <w:r w:rsidRPr="00283C83">
              <w:rPr>
                <w:rFonts w:ascii="Times New Roman" w:hAnsi="Times New Roman"/>
                <w:i/>
                <w:lang w:val="ro-RO"/>
              </w:rPr>
              <w:t xml:space="preserve">The European Union and International Development, </w:t>
            </w:r>
            <w:r w:rsidRPr="00283C83">
              <w:rPr>
                <w:rFonts w:ascii="Times New Roman" w:hAnsi="Times New Roman"/>
                <w:lang w:val="ro-RO"/>
              </w:rPr>
              <w:t>Routledge, London – New York, 2007.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</w:rPr>
            </w:pPr>
            <w:r w:rsidRPr="00283C83">
              <w:rPr>
                <w:rFonts w:ascii="Times New Roman" w:hAnsi="Times New Roman"/>
                <w:lang w:val="ro-RO"/>
              </w:rPr>
              <w:t>Dannreuther, Roland (</w:t>
            </w:r>
            <w:r w:rsidR="00FA5E92">
              <w:rPr>
                <w:rFonts w:ascii="Times New Roman" w:hAnsi="Times New Roman"/>
                <w:lang w:val="ro-RO"/>
              </w:rPr>
              <w:t>coord.</w:t>
            </w:r>
            <w:r w:rsidRPr="00283C83">
              <w:rPr>
                <w:rFonts w:ascii="Times New Roman" w:hAnsi="Times New Roman"/>
                <w:lang w:val="ro-RO"/>
              </w:rPr>
              <w:t xml:space="preserve">), </w:t>
            </w:r>
            <w:r w:rsidRPr="00283C83">
              <w:rPr>
                <w:rFonts w:ascii="Times New Roman" w:hAnsi="Times New Roman"/>
                <w:i/>
                <w:lang w:val="ro-RO"/>
              </w:rPr>
              <w:t>European Union Foreign and Security Policy. Towards Neighbourhood Strategy</w:t>
            </w:r>
            <w:r w:rsidRPr="00283C83">
              <w:rPr>
                <w:rFonts w:ascii="Times New Roman" w:hAnsi="Times New Roman"/>
                <w:lang w:val="ro-RO"/>
              </w:rPr>
              <w:t>, Routledge, London – New York, 2004.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 xml:space="preserve">Dent, Christopher, </w:t>
            </w:r>
            <w:r w:rsidRPr="00283C83">
              <w:rPr>
                <w:rFonts w:ascii="Times New Roman" w:hAnsi="Times New Roman"/>
                <w:i/>
                <w:lang w:val="ro-RO"/>
              </w:rPr>
              <w:t>The European Union and East Asia. An Economic Relationship</w:t>
            </w:r>
            <w:r w:rsidRPr="00283C83">
              <w:rPr>
                <w:rFonts w:ascii="Times New Roman" w:hAnsi="Times New Roman"/>
                <w:lang w:val="ro-RO"/>
              </w:rPr>
              <w:t>, Routledge, London – New York, 2002.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>Gärtner, Heinz şi Ian Cuthbertson</w:t>
            </w:r>
            <w:r w:rsidR="008D1DB0">
              <w:rPr>
                <w:rFonts w:ascii="Times New Roman" w:hAnsi="Times New Roman"/>
                <w:lang w:val="ro-RO"/>
              </w:rPr>
              <w:t xml:space="preserve"> (coord.)</w:t>
            </w:r>
            <w:r w:rsidRPr="00283C83">
              <w:rPr>
                <w:rFonts w:ascii="Times New Roman" w:hAnsi="Times New Roman"/>
                <w:lang w:val="ro-RO"/>
              </w:rPr>
              <w:t xml:space="preserve">, </w:t>
            </w:r>
            <w:r w:rsidRPr="00283C83">
              <w:rPr>
                <w:rFonts w:ascii="Times New Roman" w:hAnsi="Times New Roman"/>
                <w:i/>
                <w:lang w:val="ro-RO"/>
              </w:rPr>
              <w:t xml:space="preserve">European Security and Transatlantic Relations after 9/11 and the </w:t>
            </w:r>
            <w:r w:rsidRPr="00283C83">
              <w:rPr>
                <w:rFonts w:ascii="Times New Roman" w:hAnsi="Times New Roman"/>
                <w:i/>
                <w:lang w:val="ro-RO"/>
              </w:rPr>
              <w:lastRenderedPageBreak/>
              <w:t>Iraq War,</w:t>
            </w:r>
            <w:r w:rsidRPr="00283C83">
              <w:rPr>
                <w:rFonts w:ascii="Times New Roman" w:hAnsi="Times New Roman"/>
                <w:lang w:val="ro-RO"/>
              </w:rPr>
              <w:t xml:space="preserve"> Palgrave-Macmillan, 2005.</w:t>
            </w:r>
          </w:p>
          <w:p w:rsidR="008751D4" w:rsidRPr="00580F79" w:rsidRDefault="008751D4" w:rsidP="006F5B64">
            <w:pPr>
              <w:pStyle w:val="NoSpacing"/>
              <w:spacing w:after="40"/>
              <w:ind w:left="318" w:hanging="318"/>
              <w:jc w:val="both"/>
              <w:rPr>
                <w:rFonts w:ascii="Times New Roman" w:hAnsi="Times New Roman"/>
                <w:b/>
                <w:lang w:val="ro-RO"/>
              </w:rPr>
            </w:pPr>
            <w:r w:rsidRPr="00283C83">
              <w:rPr>
                <w:rFonts w:ascii="Times New Roman" w:hAnsi="Times New Roman"/>
                <w:iCs/>
                <w:lang w:val="ro-RO"/>
              </w:rPr>
              <w:t>Hansen, Annika S.</w:t>
            </w:r>
            <w:r>
              <w:rPr>
                <w:rFonts w:ascii="Times New Roman" w:hAnsi="Times New Roman"/>
                <w:iCs/>
                <w:lang w:val="ro-RO"/>
              </w:rPr>
              <w:t>,</w:t>
            </w:r>
            <w:r w:rsidRPr="00283C83">
              <w:rPr>
                <w:rFonts w:ascii="Times New Roman" w:hAnsi="Times New Roman"/>
                <w:iCs/>
                <w:lang w:val="ro-RO"/>
              </w:rPr>
              <w:t xml:space="preserve"> „</w:t>
            </w:r>
            <w:r w:rsidRPr="00283C83">
              <w:rPr>
                <w:rFonts w:ascii="Times New Roman" w:hAnsi="Times New Roman"/>
                <w:lang w:val="ro-RO"/>
              </w:rPr>
              <w:t>Security and Defence: The EU Police Mission in Bosnia-Herzegovina”, în Walter Carlsnaes, Helene Sjursen şi Brian White</w:t>
            </w:r>
            <w:r w:rsidR="00217431">
              <w:rPr>
                <w:rFonts w:ascii="Times New Roman" w:hAnsi="Times New Roman"/>
                <w:lang w:val="ro-RO"/>
              </w:rPr>
              <w:t xml:space="preserve"> (coord.)</w:t>
            </w:r>
            <w:r w:rsidRPr="00283C83">
              <w:rPr>
                <w:rFonts w:ascii="Times New Roman" w:hAnsi="Times New Roman"/>
                <w:lang w:val="ro-RO"/>
              </w:rPr>
              <w:t xml:space="preserve">, </w:t>
            </w:r>
            <w:r w:rsidRPr="00283C83">
              <w:rPr>
                <w:rFonts w:ascii="Times New Roman" w:hAnsi="Times New Roman"/>
                <w:i/>
                <w:lang w:val="ro-RO"/>
              </w:rPr>
              <w:t xml:space="preserve">Contemporary European Foreign Policy, </w:t>
            </w:r>
            <w:r w:rsidRPr="00283C83">
              <w:rPr>
                <w:rFonts w:ascii="Times New Roman" w:hAnsi="Times New Roman"/>
                <w:lang w:val="ro-RO"/>
              </w:rPr>
              <w:t>Sage, London, 2004, pp. 173-185.</w:t>
            </w:r>
          </w:p>
          <w:p w:rsidR="008751D4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>Jørgensen, Knud Erik</w:t>
            </w:r>
            <w:r w:rsidR="00217431">
              <w:rPr>
                <w:rFonts w:ascii="Times New Roman" w:hAnsi="Times New Roman"/>
                <w:lang w:val="ro-RO"/>
              </w:rPr>
              <w:t xml:space="preserve"> (coord.)</w:t>
            </w:r>
            <w:r w:rsidRPr="00283C83">
              <w:rPr>
                <w:rFonts w:ascii="Times New Roman" w:hAnsi="Times New Roman"/>
                <w:lang w:val="ro-RO"/>
              </w:rPr>
              <w:t xml:space="preserve">, </w:t>
            </w:r>
            <w:r w:rsidRPr="00283C83">
              <w:rPr>
                <w:rFonts w:ascii="Times New Roman" w:hAnsi="Times New Roman"/>
                <w:i/>
                <w:lang w:val="ro-RO"/>
              </w:rPr>
              <w:t>The EU and International Organization</w:t>
            </w:r>
            <w:r w:rsidRPr="00283C83">
              <w:rPr>
                <w:rFonts w:ascii="Times New Roman" w:hAnsi="Times New Roman"/>
                <w:lang w:val="ro-RO"/>
              </w:rPr>
              <w:t>, Routledge, London – New York, 2009.</w:t>
            </w:r>
          </w:p>
          <w:p w:rsidR="00262AC2" w:rsidRDefault="00262AC2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62AC2">
              <w:rPr>
                <w:rFonts w:ascii="Times New Roman" w:hAnsi="Times New Roman"/>
                <w:lang w:val="ro-RO"/>
              </w:rPr>
              <w:t>J</w:t>
            </w:r>
            <w:r w:rsidRPr="00283C83">
              <w:rPr>
                <w:rFonts w:ascii="Times New Roman" w:hAnsi="Times New Roman"/>
                <w:lang w:val="ro-RO"/>
              </w:rPr>
              <w:t>ø</w:t>
            </w:r>
            <w:r w:rsidRPr="00262AC2">
              <w:rPr>
                <w:rFonts w:ascii="Times New Roman" w:hAnsi="Times New Roman"/>
                <w:lang w:val="ro-RO"/>
              </w:rPr>
              <w:t>rgensen, Knud Erik , Åsne Kalland Aarstad, Edith Drieskens, Katie Laatikainen, Ben Tonra (</w:t>
            </w:r>
            <w:r>
              <w:rPr>
                <w:rFonts w:ascii="Times New Roman" w:hAnsi="Times New Roman"/>
                <w:lang w:val="ro-RO"/>
              </w:rPr>
              <w:t xml:space="preserve">coord.), </w:t>
            </w:r>
            <w:r w:rsidRPr="00E57CC9">
              <w:rPr>
                <w:rFonts w:ascii="Times New Roman" w:hAnsi="Times New Roman"/>
                <w:i/>
                <w:lang w:val="ro-RO"/>
              </w:rPr>
              <w:t>The SAGE Handbook of European Foreign Policy</w:t>
            </w:r>
            <w:r>
              <w:rPr>
                <w:rFonts w:ascii="Times New Roman" w:hAnsi="Times New Roman"/>
                <w:lang w:val="ro-RO"/>
              </w:rPr>
              <w:t xml:space="preserve">, 2 vol., </w:t>
            </w:r>
            <w:r w:rsidRPr="00262AC2">
              <w:rPr>
                <w:rFonts w:ascii="Times New Roman" w:hAnsi="Times New Roman"/>
                <w:lang w:val="ro-RO"/>
              </w:rPr>
              <w:t>SAGE Publications Ltd</w:t>
            </w:r>
            <w:r>
              <w:rPr>
                <w:rFonts w:ascii="Times New Roman" w:hAnsi="Times New Roman"/>
                <w:lang w:val="ro-RO"/>
              </w:rPr>
              <w:t xml:space="preserve">, 2015. </w:t>
            </w:r>
          </w:p>
          <w:p w:rsidR="008269A5" w:rsidRDefault="008269A5" w:rsidP="005A6907">
            <w:pPr>
              <w:autoSpaceDE w:val="0"/>
              <w:autoSpaceDN w:val="0"/>
              <w:adjustRightInd w:val="0"/>
              <w:spacing w:after="0" w:line="240" w:lineRule="auto"/>
              <w:ind w:left="314" w:hanging="314"/>
              <w:rPr>
                <w:rFonts w:ascii="Times New Roman" w:hAnsi="Times New Roman"/>
                <w:lang w:eastAsia="ro-RO"/>
              </w:rPr>
            </w:pPr>
            <w:r w:rsidRPr="008269A5">
              <w:rPr>
                <w:rFonts w:ascii="Times New Roman" w:hAnsi="Times New Roman"/>
                <w:lang w:eastAsia="ro-RO"/>
              </w:rPr>
              <w:t xml:space="preserve">Juncos, Ana E., </w:t>
            </w:r>
            <w:r>
              <w:rPr>
                <w:rFonts w:ascii="Times New Roman" w:hAnsi="Times New Roman"/>
                <w:lang w:eastAsia="ro-RO"/>
              </w:rPr>
              <w:t>„</w:t>
            </w:r>
            <w:r w:rsidRPr="008269A5">
              <w:rPr>
                <w:rFonts w:ascii="Times New Roman" w:hAnsi="Times New Roman"/>
                <w:lang w:eastAsia="ro-RO"/>
              </w:rPr>
              <w:t>Resilience as the new EU foreign policy paradigm: a</w:t>
            </w:r>
            <w:r>
              <w:rPr>
                <w:rFonts w:ascii="Times New Roman" w:hAnsi="Times New Roman"/>
                <w:lang w:eastAsia="ro-RO"/>
              </w:rPr>
              <w:t xml:space="preserve"> </w:t>
            </w:r>
            <w:r w:rsidRPr="008269A5">
              <w:rPr>
                <w:rFonts w:ascii="Times New Roman" w:hAnsi="Times New Roman"/>
                <w:lang w:eastAsia="ro-RO"/>
              </w:rPr>
              <w:t>pragmatist turn?</w:t>
            </w:r>
            <w:r>
              <w:rPr>
                <w:rFonts w:ascii="Times New Roman" w:hAnsi="Times New Roman"/>
                <w:lang w:eastAsia="ro-RO"/>
              </w:rPr>
              <w:t>”</w:t>
            </w:r>
            <w:r w:rsidRPr="008269A5">
              <w:rPr>
                <w:rFonts w:ascii="Times New Roman" w:hAnsi="Times New Roman"/>
                <w:lang w:eastAsia="ro-RO"/>
              </w:rPr>
              <w:t xml:space="preserve">, </w:t>
            </w:r>
            <w:r w:rsidRPr="008269A5">
              <w:rPr>
                <w:rFonts w:ascii="Times New Roman" w:hAnsi="Times New Roman"/>
                <w:i/>
                <w:lang w:eastAsia="ro-RO"/>
              </w:rPr>
              <w:t>European Security</w:t>
            </w:r>
            <w:r w:rsidRPr="008269A5">
              <w:rPr>
                <w:rFonts w:ascii="Times New Roman" w:hAnsi="Times New Roman"/>
                <w:lang w:eastAsia="ro-RO"/>
              </w:rPr>
              <w:t xml:space="preserve">, </w:t>
            </w:r>
            <w:r>
              <w:rPr>
                <w:rFonts w:ascii="Times New Roman" w:hAnsi="Times New Roman"/>
                <w:lang w:eastAsia="ro-RO"/>
              </w:rPr>
              <w:t xml:space="preserve">vol. </w:t>
            </w:r>
            <w:r w:rsidRPr="008269A5">
              <w:rPr>
                <w:rFonts w:ascii="Times New Roman" w:hAnsi="Times New Roman"/>
                <w:lang w:eastAsia="ro-RO"/>
              </w:rPr>
              <w:t>26</w:t>
            </w:r>
            <w:r w:rsidR="00E75DE5">
              <w:rPr>
                <w:rFonts w:ascii="Times New Roman" w:hAnsi="Times New Roman"/>
                <w:lang w:eastAsia="ro-RO"/>
              </w:rPr>
              <w:t xml:space="preserve">, no. </w:t>
            </w:r>
            <w:r w:rsidRPr="008269A5">
              <w:rPr>
                <w:rFonts w:ascii="Times New Roman" w:hAnsi="Times New Roman"/>
                <w:lang w:eastAsia="ro-RO"/>
              </w:rPr>
              <w:t>1</w:t>
            </w:r>
            <w:r>
              <w:rPr>
                <w:rFonts w:ascii="Times New Roman" w:hAnsi="Times New Roman"/>
                <w:lang w:eastAsia="ro-RO"/>
              </w:rPr>
              <w:t xml:space="preserve"> </w:t>
            </w:r>
            <w:r w:rsidRPr="008269A5">
              <w:rPr>
                <w:rFonts w:ascii="Times New Roman" w:hAnsi="Times New Roman"/>
                <w:lang w:eastAsia="ro-RO"/>
              </w:rPr>
              <w:t xml:space="preserve">(2017), </w:t>
            </w:r>
            <w:r>
              <w:rPr>
                <w:rFonts w:ascii="Times New Roman" w:hAnsi="Times New Roman"/>
                <w:lang w:eastAsia="ro-RO"/>
              </w:rPr>
              <w:t xml:space="preserve">pp. </w:t>
            </w:r>
            <w:r w:rsidRPr="008269A5">
              <w:rPr>
                <w:rFonts w:ascii="Times New Roman" w:hAnsi="Times New Roman"/>
                <w:lang w:eastAsia="ro-RO"/>
              </w:rPr>
              <w:t>1-18</w:t>
            </w:r>
            <w:r>
              <w:rPr>
                <w:rFonts w:ascii="Times New Roman" w:hAnsi="Times New Roman"/>
                <w:lang w:eastAsia="ro-RO"/>
              </w:rPr>
              <w:t>.</w:t>
            </w:r>
          </w:p>
          <w:p w:rsidR="00E538B0" w:rsidRPr="00E538B0" w:rsidRDefault="00E538B0" w:rsidP="005A6907">
            <w:pPr>
              <w:autoSpaceDE w:val="0"/>
              <w:autoSpaceDN w:val="0"/>
              <w:adjustRightInd w:val="0"/>
              <w:spacing w:after="0" w:line="240" w:lineRule="auto"/>
              <w:ind w:left="314" w:hanging="314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Rieker, Pernille (coord.),</w:t>
            </w:r>
            <w:r w:rsidRPr="00E538B0">
              <w:rPr>
                <w:rFonts w:ascii="Times New Roman" w:hAnsi="Times New Roman"/>
                <w:lang w:val="ro-RO"/>
              </w:rPr>
              <w:t xml:space="preserve"> </w:t>
            </w:r>
            <w:r w:rsidRPr="00E538B0">
              <w:rPr>
                <w:rFonts w:ascii="Times New Roman" w:hAnsi="Times New Roman"/>
                <w:i/>
                <w:lang w:val="ro-RO"/>
              </w:rPr>
              <w:t>External Governance as Security Community Building</w:t>
            </w:r>
            <w:r>
              <w:rPr>
                <w:rFonts w:ascii="Times New Roman" w:hAnsi="Times New Roman"/>
                <w:lang w:val="ro-RO"/>
              </w:rPr>
              <w:t>.</w:t>
            </w:r>
            <w:r w:rsidRPr="00E538B0">
              <w:rPr>
                <w:rFonts w:ascii="Times New Roman" w:hAnsi="Times New Roman"/>
                <w:lang w:val="ro-RO"/>
              </w:rPr>
              <w:t xml:space="preserve"> </w:t>
            </w:r>
            <w:r w:rsidRPr="00E538B0">
              <w:rPr>
                <w:rFonts w:ascii="Times New Roman" w:hAnsi="Times New Roman"/>
                <w:i/>
                <w:lang w:val="ro-RO"/>
              </w:rPr>
              <w:t>The Limits and Potential of the ENP</w:t>
            </w:r>
            <w:r>
              <w:rPr>
                <w:rFonts w:ascii="Times New Roman" w:hAnsi="Times New Roman"/>
                <w:lang w:val="ro-RO"/>
              </w:rPr>
              <w:t>, Palgrave-Macmillan, 2016.</w:t>
            </w:r>
          </w:p>
          <w:p w:rsidR="008751D4" w:rsidRPr="00283C83" w:rsidRDefault="008751D4" w:rsidP="006F5B64">
            <w:pPr>
              <w:autoSpaceDE w:val="0"/>
              <w:autoSpaceDN w:val="0"/>
              <w:adjustRightInd w:val="0"/>
              <w:spacing w:after="40" w:line="240" w:lineRule="auto"/>
              <w:ind w:left="318" w:hanging="318"/>
              <w:jc w:val="both"/>
              <w:rPr>
                <w:rFonts w:ascii="Times New Roman" w:hAnsi="Times New Roman"/>
              </w:rPr>
            </w:pPr>
            <w:r w:rsidRPr="00283C83">
              <w:rPr>
                <w:rFonts w:ascii="Times New Roman" w:hAnsi="Times New Roman"/>
              </w:rPr>
              <w:t xml:space="preserve">Smith, </w:t>
            </w:r>
            <w:r>
              <w:rPr>
                <w:rFonts w:ascii="Times New Roman" w:hAnsi="Times New Roman"/>
              </w:rPr>
              <w:t>Karen E.,</w:t>
            </w:r>
            <w:r w:rsidRPr="00283C83">
              <w:rPr>
                <w:rFonts w:ascii="Times New Roman" w:hAnsi="Times New Roman"/>
              </w:rPr>
              <w:t xml:space="preserve"> </w:t>
            </w:r>
            <w:r w:rsidRPr="00283C83">
              <w:rPr>
                <w:rFonts w:ascii="Times New Roman" w:hAnsi="Times New Roman"/>
                <w:i/>
              </w:rPr>
              <w:t>The Making of EU Foreign Policy. The Case of Eastern Europe</w:t>
            </w:r>
            <w:r w:rsidRPr="00283C83">
              <w:rPr>
                <w:rFonts w:ascii="Times New Roman" w:hAnsi="Times New Roman"/>
              </w:rPr>
              <w:t xml:space="preserve">, Palgrave Macmillan, 2004. 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</w:rPr>
            </w:pPr>
            <w:r w:rsidRPr="00283C83">
              <w:rPr>
                <w:rFonts w:ascii="Times New Roman" w:hAnsi="Times New Roman"/>
                <w:lang w:val="ro-RO"/>
              </w:rPr>
              <w:t>Wallace, Helen, William Wallace şi Mark Polack</w:t>
            </w:r>
            <w:r w:rsidR="00217431">
              <w:rPr>
                <w:rFonts w:ascii="Times New Roman" w:hAnsi="Times New Roman"/>
                <w:lang w:val="ro-RO"/>
              </w:rPr>
              <w:t xml:space="preserve"> (coord.)</w:t>
            </w:r>
            <w:r w:rsidRPr="00283C83">
              <w:rPr>
                <w:rFonts w:ascii="Times New Roman" w:hAnsi="Times New Roman"/>
                <w:lang w:val="ro-RO"/>
              </w:rPr>
              <w:t xml:space="preserve">, </w:t>
            </w:r>
            <w:r w:rsidRPr="00283C83">
              <w:rPr>
                <w:rFonts w:ascii="Times New Roman" w:hAnsi="Times New Roman"/>
                <w:i/>
                <w:lang w:val="ro-RO"/>
              </w:rPr>
              <w:t>Policy-Making in the European Union,</w:t>
            </w:r>
            <w:r w:rsidRPr="00283C83">
              <w:rPr>
                <w:rFonts w:ascii="Times New Roman" w:hAnsi="Times New Roman"/>
                <w:lang w:val="ro-RO"/>
              </w:rPr>
              <w:t xml:space="preserve"> Oxford University Press, New York, 2005</w:t>
            </w:r>
            <w:r w:rsidR="00217431">
              <w:rPr>
                <w:rFonts w:ascii="Times New Roman" w:hAnsi="Times New Roman"/>
                <w:lang w:val="ro-RO"/>
              </w:rPr>
              <w:t>.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</w:rPr>
            </w:pPr>
            <w:r w:rsidRPr="00283C83">
              <w:rPr>
                <w:rFonts w:ascii="Times New Roman" w:hAnsi="Times New Roman"/>
                <w:lang w:val="ro-RO"/>
              </w:rPr>
              <w:t>White, Brian, „Foreign Policy Analysis and the New Europe”, în Walter Carlsnaes, Helene Sjursen şi Brian White</w:t>
            </w:r>
            <w:r w:rsidR="001C759F">
              <w:rPr>
                <w:rFonts w:ascii="Times New Roman" w:hAnsi="Times New Roman"/>
                <w:lang w:val="ro-RO"/>
              </w:rPr>
              <w:t xml:space="preserve"> (coord.)</w:t>
            </w:r>
            <w:r w:rsidRPr="00283C83">
              <w:rPr>
                <w:rFonts w:ascii="Times New Roman" w:hAnsi="Times New Roman"/>
                <w:lang w:val="ro-RO"/>
              </w:rPr>
              <w:t xml:space="preserve">, </w:t>
            </w:r>
            <w:r w:rsidRPr="00283C83">
              <w:rPr>
                <w:rFonts w:ascii="Times New Roman" w:hAnsi="Times New Roman"/>
                <w:i/>
                <w:lang w:val="ro-RO"/>
              </w:rPr>
              <w:t xml:space="preserve">Contemporary European Foreign Policy, </w:t>
            </w:r>
            <w:r w:rsidRPr="00283C83">
              <w:rPr>
                <w:rFonts w:ascii="Times New Roman" w:hAnsi="Times New Roman"/>
                <w:lang w:val="ro-RO"/>
              </w:rPr>
              <w:t xml:space="preserve">Sage, London, 2004, pp. 11-31. </w:t>
            </w:r>
          </w:p>
          <w:p w:rsidR="008751D4" w:rsidRPr="00283C83" w:rsidRDefault="008751D4" w:rsidP="006F5B64">
            <w:pPr>
              <w:spacing w:after="40" w:line="240" w:lineRule="auto"/>
              <w:ind w:left="318" w:hanging="318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>Whitman</w:t>
            </w:r>
            <w:r>
              <w:rPr>
                <w:rFonts w:ascii="Times New Roman" w:hAnsi="Times New Roman"/>
                <w:lang w:val="ro-RO"/>
              </w:rPr>
              <w:t>,</w:t>
            </w:r>
            <w:r w:rsidRPr="00283C83">
              <w:rPr>
                <w:rFonts w:ascii="Times New Roman" w:hAnsi="Times New Roman"/>
                <w:lang w:val="ro-RO"/>
              </w:rPr>
              <w:t xml:space="preserve"> Richard G.  şi Stefan Wolff (</w:t>
            </w:r>
            <w:r w:rsidR="001C759F">
              <w:rPr>
                <w:rFonts w:ascii="Times New Roman" w:hAnsi="Times New Roman"/>
                <w:lang w:val="ro-RO"/>
              </w:rPr>
              <w:t>coord</w:t>
            </w:r>
            <w:r w:rsidRPr="00283C83">
              <w:rPr>
                <w:rFonts w:ascii="Times New Roman" w:hAnsi="Times New Roman"/>
                <w:lang w:val="ro-RO"/>
              </w:rPr>
              <w:t xml:space="preserve">.), </w:t>
            </w:r>
            <w:r w:rsidRPr="00283C83">
              <w:rPr>
                <w:rFonts w:ascii="Times New Roman" w:hAnsi="Times New Roman"/>
                <w:bCs/>
                <w:i/>
                <w:lang w:val="ro-RO"/>
              </w:rPr>
              <w:t>The European Neighbourhood Policy in Perspective</w:t>
            </w:r>
            <w:r w:rsidRPr="00283C83">
              <w:rPr>
                <w:rFonts w:ascii="Times New Roman" w:hAnsi="Times New Roman"/>
                <w:bCs/>
                <w:lang w:val="ro-RO"/>
              </w:rPr>
              <w:t>, Palgrave, New York, 2010.</w:t>
            </w:r>
          </w:p>
          <w:p w:rsidR="008751D4" w:rsidRDefault="008751D4" w:rsidP="001C759F">
            <w:pPr>
              <w:pStyle w:val="NoSpacing"/>
              <w:spacing w:after="40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  <w:r w:rsidRPr="00283C83">
              <w:rPr>
                <w:rFonts w:ascii="Times New Roman" w:hAnsi="Times New Roman"/>
                <w:lang w:val="ro-RO"/>
              </w:rPr>
              <w:t>Wiessala, Georg, John Wilson şi Pradeep Taneja (</w:t>
            </w:r>
            <w:r w:rsidR="001C759F">
              <w:rPr>
                <w:rFonts w:ascii="Times New Roman" w:hAnsi="Times New Roman"/>
                <w:lang w:val="ro-RO"/>
              </w:rPr>
              <w:t>coor</w:t>
            </w:r>
            <w:r w:rsidRPr="00283C83">
              <w:rPr>
                <w:rFonts w:ascii="Times New Roman" w:hAnsi="Times New Roman"/>
                <w:lang w:val="ro-RO"/>
              </w:rPr>
              <w:t xml:space="preserve">d.), </w:t>
            </w:r>
            <w:r w:rsidRPr="00283C83">
              <w:rPr>
                <w:rFonts w:ascii="Times New Roman" w:hAnsi="Times New Roman"/>
                <w:i/>
                <w:lang w:val="ro-RO"/>
              </w:rPr>
              <w:t>The European Union and China: interests and dilemmas</w:t>
            </w:r>
            <w:r w:rsidRPr="00283C83">
              <w:rPr>
                <w:rFonts w:ascii="Times New Roman" w:hAnsi="Times New Roman"/>
                <w:lang w:val="ro-RO"/>
              </w:rPr>
              <w:t xml:space="preserve">, Rodopi, Amsterdam-New-York, 2009. </w:t>
            </w:r>
          </w:p>
          <w:p w:rsidR="00E538B0" w:rsidRPr="00E538B0" w:rsidRDefault="00E538B0" w:rsidP="001C759F">
            <w:pPr>
              <w:pStyle w:val="NoSpacing"/>
              <w:spacing w:after="40"/>
              <w:ind w:left="318" w:hanging="318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8751D4" w:rsidRPr="00307A66" w:rsidTr="00D402BB">
        <w:tc>
          <w:tcPr>
            <w:tcW w:w="2941" w:type="dxa"/>
            <w:shd w:val="clear" w:color="auto" w:fill="auto"/>
          </w:tcPr>
          <w:p w:rsidR="008751D4" w:rsidRPr="00580F79" w:rsidRDefault="008751D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80F79">
              <w:rPr>
                <w:rFonts w:ascii="Times New Roman" w:hAnsi="Times New Roman"/>
                <w:b/>
                <w:lang w:val="ro-RO"/>
              </w:rPr>
              <w:lastRenderedPageBreak/>
              <w:t>8.2 Seminar</w:t>
            </w:r>
            <w:r w:rsidR="00AD4D7F">
              <w:rPr>
                <w:rFonts w:ascii="Times New Roman" w:hAnsi="Times New Roman"/>
                <w:b/>
                <w:lang w:val="ro-RO"/>
              </w:rPr>
              <w:t>/laborator</w:t>
            </w:r>
            <w:r w:rsidRPr="00580F79">
              <w:rPr>
                <w:rFonts w:ascii="Times New Roman" w:hAnsi="Times New Roman"/>
                <w:b/>
                <w:lang w:val="ro-RO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</w:tcPr>
          <w:p w:rsidR="008751D4" w:rsidRPr="00562868" w:rsidRDefault="008751D4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4566" w:type="dxa"/>
            <w:shd w:val="clear" w:color="auto" w:fill="auto"/>
          </w:tcPr>
          <w:p w:rsidR="008751D4" w:rsidRPr="00562868" w:rsidRDefault="008751D4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751D4" w:rsidRPr="00572A65" w:rsidTr="00D402BB">
        <w:tc>
          <w:tcPr>
            <w:tcW w:w="2941" w:type="dxa"/>
            <w:shd w:val="clear" w:color="auto" w:fill="auto"/>
          </w:tcPr>
          <w:p w:rsidR="008751D4" w:rsidRPr="006E1DC8" w:rsidRDefault="008751D4" w:rsidP="006E1DC8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E1DC8">
              <w:rPr>
                <w:rFonts w:ascii="Times New Roman" w:hAnsi="Times New Roman"/>
                <w:lang w:val="ro-RO"/>
              </w:rPr>
              <w:t>1. Seminar introductiv</w:t>
            </w:r>
          </w:p>
        </w:tc>
        <w:tc>
          <w:tcPr>
            <w:tcW w:w="2700" w:type="dxa"/>
            <w:shd w:val="clear" w:color="auto" w:fill="auto"/>
          </w:tcPr>
          <w:p w:rsidR="008751D4" w:rsidRPr="006E1DC8" w:rsidRDefault="00E75DE5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Organizarea activității de seminar pe parcursul semestrului</w:t>
            </w:r>
          </w:p>
        </w:tc>
        <w:tc>
          <w:tcPr>
            <w:tcW w:w="4566" w:type="dxa"/>
            <w:shd w:val="clear" w:color="auto" w:fill="auto"/>
          </w:tcPr>
          <w:p w:rsidR="008751D4" w:rsidRPr="006E1DC8" w:rsidRDefault="008751D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751D4" w:rsidRPr="003A287D" w:rsidTr="00D402BB">
        <w:tc>
          <w:tcPr>
            <w:tcW w:w="2941" w:type="dxa"/>
            <w:shd w:val="clear" w:color="auto" w:fill="auto"/>
          </w:tcPr>
          <w:p w:rsidR="008751D4" w:rsidRPr="006E1DC8" w:rsidRDefault="008751D4" w:rsidP="006E1DC8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E1DC8">
              <w:rPr>
                <w:rFonts w:ascii="Times New Roman" w:hAnsi="Times New Roman"/>
                <w:bCs/>
                <w:lang w:val="ro-RO"/>
              </w:rPr>
              <w:t xml:space="preserve">2. </w:t>
            </w:r>
            <w:r w:rsidR="00E57CC9">
              <w:rPr>
                <w:rFonts w:ascii="Times New Roman" w:hAnsi="Times New Roman"/>
                <w:lang w:val="ro-RO"/>
              </w:rPr>
              <w:t>Teorii și tradiții de cercetare în domeniul politicii externe a UE.</w:t>
            </w:r>
          </w:p>
        </w:tc>
        <w:tc>
          <w:tcPr>
            <w:tcW w:w="2700" w:type="dxa"/>
            <w:shd w:val="clear" w:color="auto" w:fill="auto"/>
          </w:tcPr>
          <w:p w:rsidR="008751D4" w:rsidRPr="006E1DC8" w:rsidRDefault="004B42A7" w:rsidP="004B42A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  <w:r w:rsidR="008751D4" w:rsidRPr="006E1DC8">
              <w:rPr>
                <w:rFonts w:ascii="Times New Roman" w:hAnsi="Times New Roman"/>
                <w:lang w:val="ro-RO"/>
              </w:rPr>
              <w:t>onversaţia, sinteza şi analiza textelor din bibliografie, dezbaterea.</w:t>
            </w:r>
          </w:p>
        </w:tc>
        <w:tc>
          <w:tcPr>
            <w:tcW w:w="4566" w:type="dxa"/>
            <w:shd w:val="clear" w:color="auto" w:fill="auto"/>
          </w:tcPr>
          <w:p w:rsidR="008751D4" w:rsidRPr="004B42A7" w:rsidRDefault="004B42A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B42A7">
              <w:rPr>
                <w:rFonts w:ascii="Times New Roman" w:hAnsi="Times New Roman"/>
                <w:lang w:val="ro-RO"/>
              </w:rPr>
              <w:t xml:space="preserve">Studenții citesc și rezuma (1-2 pagini) studiul </w:t>
            </w:r>
          </w:p>
          <w:p w:rsidR="004B42A7" w:rsidRDefault="004B42A7" w:rsidP="00A56584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746A29">
              <w:rPr>
                <w:rFonts w:ascii="Times New Roman" w:hAnsi="Times New Roman"/>
                <w:lang w:val="ro-RO" w:eastAsia="ro-RO"/>
              </w:rPr>
              <w:t>Knud Erik J</w:t>
            </w:r>
            <w:r w:rsidR="0077266B" w:rsidRPr="00283C83">
              <w:rPr>
                <w:rFonts w:ascii="Times New Roman" w:hAnsi="Times New Roman"/>
                <w:lang w:val="ro-RO"/>
              </w:rPr>
              <w:t>ø</w:t>
            </w:r>
            <w:r w:rsidRPr="00746A29">
              <w:rPr>
                <w:rFonts w:ascii="Times New Roman" w:hAnsi="Times New Roman"/>
                <w:lang w:val="ro-RO" w:eastAsia="ro-RO"/>
              </w:rPr>
              <w:t xml:space="preserve">rgensen, „Research Traditions”, în </w:t>
            </w:r>
            <w:r w:rsidRPr="004B42A7">
              <w:rPr>
                <w:rFonts w:ascii="Times New Roman" w:hAnsi="Times New Roman"/>
                <w:lang w:val="ro-RO"/>
              </w:rPr>
              <w:t>Jø</w:t>
            </w:r>
            <w:r w:rsidR="00DC0D9E">
              <w:rPr>
                <w:rFonts w:ascii="Times New Roman" w:hAnsi="Times New Roman"/>
                <w:lang w:val="ro-RO"/>
              </w:rPr>
              <w:t>rgensen, Knud Erik</w:t>
            </w:r>
            <w:r w:rsidRPr="004B42A7">
              <w:rPr>
                <w:rFonts w:ascii="Times New Roman" w:hAnsi="Times New Roman"/>
                <w:lang w:val="ro-RO"/>
              </w:rPr>
              <w:t xml:space="preserve">, Åsne Kalland Aarstad, Edith Drieskens, Katie Laatikainen, Ben Tonra (coord.), </w:t>
            </w:r>
            <w:r w:rsidRPr="004B42A7">
              <w:rPr>
                <w:rFonts w:ascii="Times New Roman" w:hAnsi="Times New Roman"/>
                <w:i/>
                <w:lang w:val="ro-RO"/>
              </w:rPr>
              <w:t>The SAGE Handbook of European Foreign Policy</w:t>
            </w:r>
            <w:r w:rsidRPr="004B42A7">
              <w:rPr>
                <w:rFonts w:ascii="Times New Roman" w:hAnsi="Times New Roman"/>
                <w:lang w:val="ro-RO"/>
              </w:rPr>
              <w:t>, vol.</w:t>
            </w:r>
            <w:r w:rsidR="00A56584">
              <w:rPr>
                <w:rFonts w:ascii="Times New Roman" w:hAnsi="Times New Roman"/>
                <w:lang w:val="ro-RO"/>
              </w:rPr>
              <w:t>1</w:t>
            </w:r>
            <w:r w:rsidRPr="004B42A7">
              <w:rPr>
                <w:rFonts w:ascii="Times New Roman" w:hAnsi="Times New Roman"/>
                <w:lang w:val="ro-RO"/>
              </w:rPr>
              <w:t>, SAGE Publications</w:t>
            </w:r>
            <w:r w:rsidRPr="00262AC2">
              <w:rPr>
                <w:rFonts w:ascii="Times New Roman" w:hAnsi="Times New Roman"/>
                <w:lang w:val="ro-RO"/>
              </w:rPr>
              <w:t xml:space="preserve"> Ltd</w:t>
            </w:r>
            <w:r>
              <w:rPr>
                <w:rFonts w:ascii="Times New Roman" w:hAnsi="Times New Roman"/>
                <w:lang w:val="ro-RO"/>
              </w:rPr>
              <w:t xml:space="preserve">, 2015, pp. </w:t>
            </w:r>
            <w:r w:rsidR="00A56584">
              <w:rPr>
                <w:rFonts w:ascii="Times New Roman" w:hAnsi="Times New Roman"/>
                <w:lang w:val="ro-RO"/>
              </w:rPr>
              <w:t>3-13.</w:t>
            </w:r>
          </w:p>
          <w:p w:rsidR="003A287D" w:rsidRDefault="003A287D" w:rsidP="003A287D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Rezumatul/sinteza, redactată la calculator și </w:t>
            </w:r>
            <w:r w:rsidR="00770BE0">
              <w:rPr>
                <w:rFonts w:ascii="Times New Roman" w:hAnsi="Times New Roman"/>
                <w:lang w:val="ro-RO"/>
              </w:rPr>
              <w:t>structurată similar studiului</w:t>
            </w:r>
            <w:r>
              <w:rPr>
                <w:rFonts w:ascii="Times New Roman" w:hAnsi="Times New Roman"/>
                <w:lang w:val="ro-RO"/>
              </w:rPr>
              <w:t xml:space="preserve">, este prezentată coordonatorului </w:t>
            </w:r>
            <w:r w:rsidR="00770BE0">
              <w:rPr>
                <w:rFonts w:ascii="Times New Roman" w:hAnsi="Times New Roman"/>
                <w:lang w:val="ro-RO"/>
              </w:rPr>
              <w:t xml:space="preserve">de </w:t>
            </w:r>
            <w:r>
              <w:rPr>
                <w:rFonts w:ascii="Times New Roman" w:hAnsi="Times New Roman"/>
                <w:lang w:val="ro-RO"/>
              </w:rPr>
              <w:t>seminar</w:t>
            </w:r>
            <w:r w:rsidR="00085CB7">
              <w:rPr>
                <w:rFonts w:ascii="Times New Roman" w:hAnsi="Times New Roman"/>
                <w:lang w:val="ro-RO"/>
              </w:rPr>
              <w:t xml:space="preserve"> în clasă</w:t>
            </w:r>
            <w:r w:rsidR="00914D8E">
              <w:rPr>
                <w:rFonts w:ascii="Times New Roman" w:hAnsi="Times New Roman"/>
                <w:lang w:val="ro-RO"/>
              </w:rPr>
              <w:t xml:space="preserve">, la </w:t>
            </w:r>
            <w:r w:rsidR="00176499">
              <w:rPr>
                <w:rFonts w:ascii="Times New Roman" w:hAnsi="Times New Roman"/>
                <w:lang w:val="ro-RO"/>
              </w:rPr>
              <w:t>data seminarului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="00005FE6" w:rsidRPr="004B42A7" w:rsidRDefault="00005FE6" w:rsidP="00606007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6E576E">
              <w:rPr>
                <w:rFonts w:ascii="Times New Roman" w:hAnsi="Times New Roman"/>
                <w:b/>
                <w:lang w:val="ro-RO"/>
              </w:rPr>
              <w:t>Punctaj</w:t>
            </w:r>
            <w:r w:rsidR="009D4580">
              <w:rPr>
                <w:rFonts w:ascii="Times New Roman" w:hAnsi="Times New Roman"/>
                <w:b/>
                <w:lang w:val="ro-RO"/>
              </w:rPr>
              <w:t>:</w:t>
            </w:r>
            <w:r w:rsidR="0067384F">
              <w:rPr>
                <w:rFonts w:ascii="Times New Roman" w:hAnsi="Times New Roman"/>
                <w:lang w:val="ro-RO"/>
              </w:rPr>
              <w:t xml:space="preserve"> 0,</w:t>
            </w:r>
            <w:r w:rsidR="00606007">
              <w:rPr>
                <w:rFonts w:ascii="Times New Roman" w:hAnsi="Times New Roman"/>
                <w:lang w:val="ro-RO"/>
              </w:rPr>
              <w:t>6</w:t>
            </w:r>
            <w:r>
              <w:rPr>
                <w:rFonts w:ascii="Times New Roman" w:hAnsi="Times New Roman"/>
                <w:lang w:val="ro-RO"/>
              </w:rPr>
              <w:t xml:space="preserve"> din 3.</w:t>
            </w:r>
          </w:p>
        </w:tc>
      </w:tr>
      <w:tr w:rsidR="008751D4" w:rsidRPr="004B572C" w:rsidTr="00D402BB">
        <w:tc>
          <w:tcPr>
            <w:tcW w:w="2941" w:type="dxa"/>
            <w:shd w:val="clear" w:color="auto" w:fill="auto"/>
          </w:tcPr>
          <w:p w:rsidR="008751D4" w:rsidRPr="006E1DC8" w:rsidRDefault="008751D4" w:rsidP="004B572C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6E1DC8">
              <w:rPr>
                <w:rFonts w:ascii="Times New Roman" w:hAnsi="Times New Roman"/>
                <w:lang w:val="ro-RO"/>
              </w:rPr>
              <w:t xml:space="preserve">3. </w:t>
            </w:r>
            <w:r w:rsidR="009D4580">
              <w:rPr>
                <w:rFonts w:ascii="Times New Roman" w:hAnsi="Times New Roman"/>
                <w:bCs/>
                <w:lang w:val="ro-RO"/>
              </w:rPr>
              <w:t>De la „cooperarea politică” la Politica Externă și de Securitate Comună (PESC) și Politica European</w:t>
            </w:r>
            <w:r w:rsidR="004B572C">
              <w:rPr>
                <w:rFonts w:ascii="Times New Roman" w:hAnsi="Times New Roman"/>
                <w:bCs/>
                <w:lang w:val="ro-RO"/>
              </w:rPr>
              <w:t>ă</w:t>
            </w:r>
            <w:r w:rsidR="009D4580">
              <w:rPr>
                <w:rFonts w:ascii="Times New Roman" w:hAnsi="Times New Roman"/>
                <w:bCs/>
                <w:lang w:val="ro-RO"/>
              </w:rPr>
              <w:t xml:space="preserve"> de Securitate și Apărare (PESA) </w:t>
            </w:r>
          </w:p>
        </w:tc>
        <w:tc>
          <w:tcPr>
            <w:tcW w:w="2700" w:type="dxa"/>
            <w:shd w:val="clear" w:color="auto" w:fill="auto"/>
          </w:tcPr>
          <w:p w:rsidR="008751D4" w:rsidRPr="006E1DC8" w:rsidRDefault="009D458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  <w:r w:rsidRPr="006E1DC8">
              <w:rPr>
                <w:rFonts w:ascii="Times New Roman" w:hAnsi="Times New Roman"/>
                <w:lang w:val="ro-RO"/>
              </w:rPr>
              <w:t>onversaţia, sinteza şi analiza textelor din bibliografie, dezbaterea.</w:t>
            </w:r>
          </w:p>
        </w:tc>
        <w:tc>
          <w:tcPr>
            <w:tcW w:w="4566" w:type="dxa"/>
            <w:shd w:val="clear" w:color="auto" w:fill="auto"/>
          </w:tcPr>
          <w:p w:rsidR="00CE7E27" w:rsidRDefault="004B572C" w:rsidP="004B572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B42A7">
              <w:rPr>
                <w:rFonts w:ascii="Times New Roman" w:hAnsi="Times New Roman"/>
                <w:lang w:val="ro-RO"/>
              </w:rPr>
              <w:t xml:space="preserve">Studenții citesc </w:t>
            </w:r>
            <w:r>
              <w:rPr>
                <w:rFonts w:ascii="Times New Roman" w:hAnsi="Times New Roman"/>
                <w:lang w:val="ro-RO"/>
              </w:rPr>
              <w:t>capitolu</w:t>
            </w:r>
            <w:r w:rsidRPr="004B42A7">
              <w:rPr>
                <w:rFonts w:ascii="Times New Roman" w:hAnsi="Times New Roman"/>
                <w:lang w:val="ro-RO"/>
              </w:rPr>
              <w:t xml:space="preserve">l </w:t>
            </w:r>
            <w:r>
              <w:rPr>
                <w:rFonts w:ascii="Times New Roman" w:hAnsi="Times New Roman"/>
                <w:lang w:val="ro-RO"/>
              </w:rPr>
              <w:t>B. Gigerich și W. Wallace, „</w:t>
            </w:r>
            <w:r w:rsidRPr="00D51066">
              <w:rPr>
                <w:rFonts w:ascii="Times New Roman" w:hAnsi="Times New Roman"/>
                <w:lang w:val="ro-RO"/>
              </w:rPr>
              <w:t xml:space="preserve">Politica externă și de securitate” în </w:t>
            </w:r>
            <w:r w:rsidR="00D51066" w:rsidRPr="00F21D3E">
              <w:rPr>
                <w:rStyle w:val="Emphasis"/>
                <w:rFonts w:ascii="Times New Roman" w:hAnsi="Times New Roman"/>
                <w:bCs/>
                <w:i w:val="0"/>
                <w:iCs w:val="0"/>
                <w:shd w:val="clear" w:color="auto" w:fill="FFFFFF"/>
                <w:lang w:val="ro-RO"/>
              </w:rPr>
              <w:t>Helen Wallace</w:t>
            </w:r>
            <w:r w:rsidR="00D51066" w:rsidRPr="00F21D3E">
              <w:rPr>
                <w:rFonts w:ascii="Times New Roman" w:hAnsi="Times New Roman"/>
                <w:shd w:val="clear" w:color="auto" w:fill="FFFFFF"/>
                <w:lang w:val="ro-RO"/>
              </w:rPr>
              <w:t>, </w:t>
            </w:r>
            <w:r w:rsidR="00D51066" w:rsidRPr="00F21D3E">
              <w:rPr>
                <w:rStyle w:val="Emphasis"/>
                <w:rFonts w:ascii="Times New Roman" w:hAnsi="Times New Roman"/>
                <w:bCs/>
                <w:i w:val="0"/>
                <w:iCs w:val="0"/>
                <w:shd w:val="clear" w:color="auto" w:fill="FFFFFF"/>
                <w:lang w:val="ro-RO"/>
              </w:rPr>
              <w:t>Mark</w:t>
            </w:r>
            <w:r w:rsidR="00D51066" w:rsidRPr="00F21D3E">
              <w:rPr>
                <w:rFonts w:ascii="Times New Roman" w:hAnsi="Times New Roman"/>
                <w:shd w:val="clear" w:color="auto" w:fill="FFFFFF"/>
                <w:lang w:val="ro-RO"/>
              </w:rPr>
              <w:t> A. </w:t>
            </w:r>
            <w:r w:rsidR="00D51066" w:rsidRPr="00F21D3E">
              <w:rPr>
                <w:rStyle w:val="Emphasis"/>
                <w:rFonts w:ascii="Times New Roman" w:hAnsi="Times New Roman"/>
                <w:bCs/>
                <w:i w:val="0"/>
                <w:iCs w:val="0"/>
                <w:shd w:val="clear" w:color="auto" w:fill="FFFFFF"/>
                <w:lang w:val="ro-RO"/>
              </w:rPr>
              <w:t>Pollack</w:t>
            </w:r>
            <w:r w:rsidR="00D51066" w:rsidRPr="00F21D3E">
              <w:rPr>
                <w:rFonts w:ascii="Times New Roman" w:hAnsi="Times New Roman"/>
                <w:shd w:val="clear" w:color="auto" w:fill="FFFFFF"/>
                <w:lang w:val="ro-RO"/>
              </w:rPr>
              <w:t xml:space="preserve">, Alasdair R. Young, </w:t>
            </w:r>
            <w:r w:rsidR="00F21D3E">
              <w:rPr>
                <w:rFonts w:ascii="Times New Roman" w:hAnsi="Times New Roman"/>
                <w:i/>
                <w:lang w:val="ro-RO"/>
              </w:rPr>
              <w:t>Elaborarea politicilor în Uniunea Europeană</w:t>
            </w:r>
            <w:r w:rsidR="00D51066" w:rsidRPr="00283C83">
              <w:rPr>
                <w:rFonts w:ascii="Times New Roman" w:hAnsi="Times New Roman"/>
                <w:i/>
                <w:lang w:val="ro-RO"/>
              </w:rPr>
              <w:t>,</w:t>
            </w:r>
            <w:r w:rsidR="00D51066" w:rsidRPr="00283C83">
              <w:rPr>
                <w:rFonts w:ascii="Times New Roman" w:hAnsi="Times New Roman"/>
                <w:lang w:val="ro-RO"/>
              </w:rPr>
              <w:t xml:space="preserve"> Oxford </w:t>
            </w:r>
            <w:r w:rsidR="00D51066">
              <w:rPr>
                <w:rFonts w:ascii="Times New Roman" w:hAnsi="Times New Roman"/>
                <w:lang w:val="ro-RO"/>
              </w:rPr>
              <w:t xml:space="preserve">University Press, New York, </w:t>
            </w:r>
            <w:r w:rsidR="00F21D3E">
              <w:rPr>
                <w:rFonts w:ascii="Times New Roman" w:hAnsi="Times New Roman"/>
                <w:lang w:val="ro-RO"/>
              </w:rPr>
              <w:t xml:space="preserve">(trad. rom. IER), </w:t>
            </w:r>
            <w:r w:rsidR="00D51066">
              <w:rPr>
                <w:rFonts w:ascii="Times New Roman" w:hAnsi="Times New Roman"/>
                <w:lang w:val="ro-RO"/>
              </w:rPr>
              <w:t>2011</w:t>
            </w:r>
            <w:r w:rsidR="00F21D3E">
              <w:rPr>
                <w:rFonts w:ascii="Times New Roman" w:hAnsi="Times New Roman"/>
                <w:lang w:val="ro-RO"/>
              </w:rPr>
              <w:t>.</w:t>
            </w:r>
          </w:p>
          <w:p w:rsidR="004B572C" w:rsidRPr="00E538B0" w:rsidRDefault="00CE7E27" w:rsidP="004B572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Studenții identifică în scris (1-2 pagini</w:t>
            </w:r>
            <w:r w:rsidR="005D7508">
              <w:rPr>
                <w:rFonts w:ascii="Times New Roman" w:hAnsi="Times New Roman"/>
                <w:lang w:val="ro-RO"/>
              </w:rPr>
              <w:t xml:space="preserve"> prezentate coordonatorului de seminar</w:t>
            </w:r>
            <w:r>
              <w:rPr>
                <w:rFonts w:ascii="Times New Roman" w:hAnsi="Times New Roman"/>
                <w:lang w:val="ro-RO"/>
              </w:rPr>
              <w:t>) momentele istorice cheie în evoluția PESC,</w:t>
            </w:r>
            <w:r w:rsidR="00F21D3E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precum și </w:t>
            </w:r>
            <w:r w:rsidRPr="00E538B0">
              <w:rPr>
                <w:rFonts w:ascii="Times New Roman" w:hAnsi="Times New Roman"/>
                <w:lang w:val="ro-RO"/>
              </w:rPr>
              <w:t xml:space="preserve">principalele instituții ale UE implicate în procesul decizional al PESC/PESA. </w:t>
            </w:r>
          </w:p>
          <w:p w:rsidR="008751D4" w:rsidRPr="006E1DC8" w:rsidRDefault="00047389" w:rsidP="0060600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E538B0">
              <w:rPr>
                <w:rFonts w:ascii="Times New Roman" w:hAnsi="Times New Roman"/>
                <w:b/>
                <w:lang w:val="ro-RO"/>
              </w:rPr>
              <w:t>Punctaj:</w:t>
            </w:r>
            <w:r w:rsidR="0067384F">
              <w:rPr>
                <w:rFonts w:ascii="Times New Roman" w:hAnsi="Times New Roman"/>
                <w:lang w:val="ro-RO"/>
              </w:rPr>
              <w:t xml:space="preserve"> 0,</w:t>
            </w:r>
            <w:r w:rsidR="00606007">
              <w:rPr>
                <w:rFonts w:ascii="Times New Roman" w:hAnsi="Times New Roman"/>
                <w:lang w:val="ro-RO"/>
              </w:rPr>
              <w:t>6</w:t>
            </w:r>
            <w:r w:rsidRPr="00E538B0">
              <w:rPr>
                <w:rFonts w:ascii="Times New Roman" w:hAnsi="Times New Roman"/>
                <w:lang w:val="ro-RO"/>
              </w:rPr>
              <w:t xml:space="preserve"> din 3.</w:t>
            </w:r>
          </w:p>
        </w:tc>
      </w:tr>
      <w:tr w:rsidR="008751D4" w:rsidRPr="00F91EEC" w:rsidTr="00D402BB">
        <w:tc>
          <w:tcPr>
            <w:tcW w:w="2941" w:type="dxa"/>
            <w:shd w:val="clear" w:color="auto" w:fill="auto"/>
          </w:tcPr>
          <w:p w:rsidR="008751D4" w:rsidRPr="006E1DC8" w:rsidRDefault="008751D4" w:rsidP="0077266B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E1DC8">
              <w:rPr>
                <w:rFonts w:ascii="Times New Roman" w:hAnsi="Times New Roman"/>
                <w:lang w:val="ro-RO"/>
              </w:rPr>
              <w:t xml:space="preserve">4. </w:t>
            </w:r>
            <w:r w:rsidR="0077266B">
              <w:rPr>
                <w:rFonts w:ascii="Times New Roman" w:hAnsi="Times New Roman"/>
                <w:bCs/>
                <w:lang w:val="ro-RO"/>
              </w:rPr>
              <w:t>Politica de vecinătate a UE</w:t>
            </w:r>
          </w:p>
        </w:tc>
        <w:tc>
          <w:tcPr>
            <w:tcW w:w="2700" w:type="dxa"/>
            <w:shd w:val="clear" w:color="auto" w:fill="auto"/>
          </w:tcPr>
          <w:p w:rsidR="008751D4" w:rsidRPr="006E1DC8" w:rsidRDefault="00E538B0" w:rsidP="00F64085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  <w:r w:rsidRPr="006E1DC8">
              <w:rPr>
                <w:rFonts w:ascii="Times New Roman" w:hAnsi="Times New Roman"/>
                <w:lang w:val="ro-RO"/>
              </w:rPr>
              <w:t xml:space="preserve">onversaţia, sinteza şi analiza textelor din bibliografie, </w:t>
            </w:r>
            <w:r w:rsidR="00F64085">
              <w:rPr>
                <w:rFonts w:ascii="Times New Roman" w:hAnsi="Times New Roman"/>
                <w:lang w:val="ro-RO"/>
              </w:rPr>
              <w:t>studiul de caz, comparația</w:t>
            </w:r>
            <w:r w:rsidRPr="006E1DC8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4566" w:type="dxa"/>
            <w:shd w:val="clear" w:color="auto" w:fill="auto"/>
          </w:tcPr>
          <w:p w:rsidR="008751D4" w:rsidRDefault="00100D8F" w:rsidP="00D25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00D8F">
              <w:rPr>
                <w:rFonts w:ascii="Times New Roman" w:hAnsi="Times New Roman"/>
                <w:lang w:val="ro-RO"/>
              </w:rPr>
              <w:t>Studenții citesc</w:t>
            </w:r>
            <w:r w:rsidR="00C0721F">
              <w:rPr>
                <w:rFonts w:ascii="Times New Roman" w:hAnsi="Times New Roman"/>
                <w:lang w:val="ro-RO"/>
              </w:rPr>
              <w:t xml:space="preserve"> </w:t>
            </w:r>
            <w:r w:rsidRPr="00100D8F">
              <w:rPr>
                <w:rFonts w:ascii="Times New Roman" w:hAnsi="Times New Roman"/>
                <w:lang w:eastAsia="ro-RO"/>
              </w:rPr>
              <w:t>Pernille Rieker</w:t>
            </w:r>
            <w:r w:rsidRPr="00100D8F">
              <w:rPr>
                <w:rFonts w:ascii="Times New Roman" w:hAnsi="Times New Roman"/>
                <w:lang w:val="ro-RO"/>
              </w:rPr>
              <w:t xml:space="preserve"> „</w:t>
            </w:r>
            <w:r w:rsidRPr="00100D8F">
              <w:rPr>
                <w:rFonts w:ascii="Times New Roman" w:hAnsi="Times New Roman"/>
                <w:bCs/>
                <w:lang w:eastAsia="ro-RO"/>
              </w:rPr>
              <w:t>The</w:t>
            </w:r>
            <w:r w:rsidR="00C0721F">
              <w:rPr>
                <w:rFonts w:ascii="Times New Roman" w:hAnsi="Times New Roman"/>
                <w:bCs/>
                <w:lang w:eastAsia="ro-RO"/>
              </w:rPr>
              <w:t xml:space="preserve"> </w:t>
            </w:r>
            <w:r w:rsidRPr="00100D8F">
              <w:rPr>
                <w:rFonts w:ascii="Times New Roman" w:hAnsi="Times New Roman"/>
                <w:bCs/>
                <w:lang w:eastAsia="ro-RO"/>
              </w:rPr>
              <w:t>European Neighbourhood Policy:</w:t>
            </w:r>
            <w:r w:rsidR="00D25008">
              <w:rPr>
                <w:rFonts w:ascii="Times New Roman" w:hAnsi="Times New Roman"/>
                <w:bCs/>
                <w:lang w:eastAsia="ro-RO"/>
              </w:rPr>
              <w:t xml:space="preserve"> </w:t>
            </w:r>
            <w:r w:rsidRPr="00100D8F">
              <w:rPr>
                <w:rFonts w:ascii="Times New Roman" w:hAnsi="Times New Roman"/>
                <w:bCs/>
                <w:lang w:eastAsia="ro-RO"/>
              </w:rPr>
              <w:t>An Instrument for Security Community-Building</w:t>
            </w:r>
            <w:r w:rsidRPr="00100D8F">
              <w:rPr>
                <w:rFonts w:ascii="Times New Roman" w:hAnsi="Times New Roman"/>
                <w:lang w:val="ro-RO"/>
              </w:rPr>
              <w:t xml:space="preserve">”, în </w:t>
            </w:r>
            <w:r w:rsidR="00E538B0" w:rsidRPr="00100D8F">
              <w:rPr>
                <w:rFonts w:ascii="Times New Roman" w:hAnsi="Times New Roman"/>
                <w:lang w:val="ro-RO"/>
              </w:rPr>
              <w:t xml:space="preserve">Pernille </w:t>
            </w:r>
            <w:r w:rsidR="006D40FB" w:rsidRPr="00100D8F">
              <w:rPr>
                <w:rFonts w:ascii="Times New Roman" w:hAnsi="Times New Roman"/>
                <w:lang w:val="ro-RO"/>
              </w:rPr>
              <w:t>Rieke</w:t>
            </w:r>
            <w:r w:rsidR="006D40FB">
              <w:rPr>
                <w:rFonts w:ascii="Times New Roman" w:hAnsi="Times New Roman"/>
                <w:lang w:val="ro-RO"/>
              </w:rPr>
              <w:t xml:space="preserve">r </w:t>
            </w:r>
            <w:r w:rsidR="00E538B0" w:rsidRPr="00100D8F">
              <w:rPr>
                <w:rFonts w:ascii="Times New Roman" w:hAnsi="Times New Roman"/>
                <w:lang w:val="ro-RO"/>
              </w:rPr>
              <w:t xml:space="preserve">(coord.), </w:t>
            </w:r>
            <w:r w:rsidR="00E538B0" w:rsidRPr="00100D8F">
              <w:rPr>
                <w:rFonts w:ascii="Times New Roman" w:hAnsi="Times New Roman"/>
                <w:i/>
                <w:lang w:val="ro-RO"/>
              </w:rPr>
              <w:t>External Governance as Security Community</w:t>
            </w:r>
            <w:r w:rsidR="00E538B0" w:rsidRPr="00E538B0">
              <w:rPr>
                <w:rFonts w:ascii="Times New Roman" w:hAnsi="Times New Roman"/>
                <w:i/>
                <w:lang w:val="ro-RO"/>
              </w:rPr>
              <w:t xml:space="preserve"> Building</w:t>
            </w:r>
            <w:r w:rsidR="00E538B0">
              <w:rPr>
                <w:rFonts w:ascii="Times New Roman" w:hAnsi="Times New Roman"/>
                <w:lang w:val="ro-RO"/>
              </w:rPr>
              <w:t>.</w:t>
            </w:r>
            <w:r w:rsidR="00E538B0" w:rsidRPr="00E538B0">
              <w:rPr>
                <w:rFonts w:ascii="Times New Roman" w:hAnsi="Times New Roman"/>
                <w:lang w:val="ro-RO"/>
              </w:rPr>
              <w:t xml:space="preserve"> </w:t>
            </w:r>
            <w:r w:rsidR="00E538B0" w:rsidRPr="00E538B0">
              <w:rPr>
                <w:rFonts w:ascii="Times New Roman" w:hAnsi="Times New Roman"/>
                <w:i/>
                <w:lang w:val="ro-RO"/>
              </w:rPr>
              <w:t xml:space="preserve">The Limits and </w:t>
            </w:r>
            <w:r w:rsidR="00E538B0" w:rsidRPr="00E538B0">
              <w:rPr>
                <w:rFonts w:ascii="Times New Roman" w:hAnsi="Times New Roman"/>
                <w:i/>
                <w:lang w:val="ro-RO"/>
              </w:rPr>
              <w:lastRenderedPageBreak/>
              <w:t>Potential of the ENP</w:t>
            </w:r>
            <w:r w:rsidR="00C0721F">
              <w:rPr>
                <w:rFonts w:ascii="Times New Roman" w:hAnsi="Times New Roman"/>
                <w:lang w:val="ro-RO"/>
              </w:rPr>
              <w:t>, Palgrave-Macmillan, 2016, pp. 1 –</w:t>
            </w:r>
            <w:r w:rsidR="00F91EEC">
              <w:rPr>
                <w:rFonts w:ascii="Times New Roman" w:hAnsi="Times New Roman"/>
                <w:lang w:val="ro-RO"/>
              </w:rPr>
              <w:t xml:space="preserve"> 14 și corelează teoriile/ipotezele formulate aici cu un studiu de caz al relațiilor bilaterale dintre UE și unul dintre statele Parteneriatului E</w:t>
            </w:r>
            <w:r w:rsidR="006D40FB">
              <w:rPr>
                <w:rFonts w:ascii="Times New Roman" w:hAnsi="Times New Roman"/>
                <w:lang w:val="ro-RO"/>
              </w:rPr>
              <w:t>stic/Mediteran</w:t>
            </w:r>
            <w:r w:rsidR="00F91EEC">
              <w:rPr>
                <w:rFonts w:ascii="Times New Roman" w:hAnsi="Times New Roman"/>
                <w:lang w:val="ro-RO"/>
              </w:rPr>
              <w:t xml:space="preserve">ean (la alegere). </w:t>
            </w:r>
          </w:p>
          <w:p w:rsidR="00C92A46" w:rsidRDefault="00C92A46" w:rsidP="00C92A46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1-2 pagini.</w:t>
            </w:r>
          </w:p>
          <w:p w:rsidR="007A6943" w:rsidRPr="006E1DC8" w:rsidRDefault="007A6943" w:rsidP="00606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o-RO"/>
              </w:rPr>
            </w:pPr>
            <w:r w:rsidRPr="00E538B0">
              <w:rPr>
                <w:rFonts w:ascii="Times New Roman" w:hAnsi="Times New Roman"/>
                <w:b/>
                <w:lang w:val="ro-RO"/>
              </w:rPr>
              <w:t>Punctaj:</w:t>
            </w:r>
            <w:r>
              <w:rPr>
                <w:rFonts w:ascii="Times New Roman" w:hAnsi="Times New Roman"/>
                <w:lang w:val="ro-RO"/>
              </w:rPr>
              <w:t xml:space="preserve"> 0,</w:t>
            </w:r>
            <w:r w:rsidR="00606007">
              <w:rPr>
                <w:rFonts w:ascii="Times New Roman" w:hAnsi="Times New Roman"/>
                <w:lang w:val="ro-RO"/>
              </w:rPr>
              <w:t>6</w:t>
            </w:r>
            <w:r w:rsidRPr="00E538B0">
              <w:rPr>
                <w:rFonts w:ascii="Times New Roman" w:hAnsi="Times New Roman"/>
                <w:lang w:val="ro-RO"/>
              </w:rPr>
              <w:t xml:space="preserve"> din 3.</w:t>
            </w:r>
          </w:p>
        </w:tc>
      </w:tr>
      <w:tr w:rsidR="008751D4" w:rsidRPr="005C5431" w:rsidTr="00D402BB">
        <w:tc>
          <w:tcPr>
            <w:tcW w:w="2941" w:type="dxa"/>
            <w:shd w:val="clear" w:color="auto" w:fill="auto"/>
          </w:tcPr>
          <w:p w:rsidR="008751D4" w:rsidRPr="006E1DC8" w:rsidRDefault="008751D4" w:rsidP="003B1571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E1DC8">
              <w:rPr>
                <w:rFonts w:ascii="Times New Roman" w:hAnsi="Times New Roman"/>
                <w:lang w:val="ro-RO"/>
              </w:rPr>
              <w:lastRenderedPageBreak/>
              <w:t xml:space="preserve">5. </w:t>
            </w:r>
            <w:r w:rsidR="003B1571">
              <w:rPr>
                <w:rFonts w:ascii="Times New Roman" w:hAnsi="Times New Roman"/>
                <w:lang w:val="ro-RO"/>
              </w:rPr>
              <w:t>I</w:t>
            </w:r>
            <w:r w:rsidR="003B1571" w:rsidRPr="00CF7128">
              <w:rPr>
                <w:rFonts w:ascii="Times New Roman" w:hAnsi="Times New Roman"/>
                <w:sz w:val="24"/>
                <w:szCs w:val="24"/>
                <w:lang w:val="ro-RO"/>
              </w:rPr>
              <w:t>nstitutii, actori</w:t>
            </w:r>
            <w:r w:rsidR="003B15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</w:t>
            </w:r>
            <w:r w:rsidR="003B1571" w:rsidRPr="00CF712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mecanisme decizionale</w:t>
            </w:r>
            <w:r w:rsidR="003B15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 politica externă europeană. </w:t>
            </w:r>
          </w:p>
        </w:tc>
        <w:tc>
          <w:tcPr>
            <w:tcW w:w="2700" w:type="dxa"/>
            <w:shd w:val="clear" w:color="auto" w:fill="auto"/>
          </w:tcPr>
          <w:p w:rsidR="008751D4" w:rsidRPr="006E1DC8" w:rsidRDefault="003B157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Simulare / jocuri de rol.</w:t>
            </w:r>
          </w:p>
        </w:tc>
        <w:tc>
          <w:tcPr>
            <w:tcW w:w="4566" w:type="dxa"/>
            <w:shd w:val="clear" w:color="auto" w:fill="auto"/>
          </w:tcPr>
          <w:p w:rsidR="008751D4" w:rsidRDefault="005C543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C5431">
              <w:rPr>
                <w:rFonts w:ascii="Times New Roman" w:hAnsi="Times New Roman"/>
                <w:lang w:val="ro-RO"/>
              </w:rPr>
              <w:t xml:space="preserve">Simularea </w:t>
            </w:r>
            <w:r>
              <w:rPr>
                <w:rFonts w:ascii="Times New Roman" w:hAnsi="Times New Roman"/>
                <w:lang w:val="ro-RO"/>
              </w:rPr>
              <w:t>structurii și funcționării Serviciului European de Acțiune Externă.</w:t>
            </w:r>
          </w:p>
          <w:p w:rsidR="005C5431" w:rsidRDefault="005C543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5C5431" w:rsidRDefault="000963A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hyperlink r:id="rId8" w:history="1">
              <w:r w:rsidR="005C5431" w:rsidRPr="00C20CCD">
                <w:rPr>
                  <w:rStyle w:val="Hyperlink"/>
                  <w:rFonts w:ascii="Times New Roman" w:hAnsi="Times New Roman"/>
                  <w:lang w:val="ro-RO"/>
                </w:rPr>
                <w:t>http://www.e-ir.info/2015/02/19/simulating-europe-lesson-drawing-from-eu-decision-making-games/</w:t>
              </w:r>
            </w:hyperlink>
            <w:r w:rsidR="005C5431">
              <w:rPr>
                <w:rFonts w:ascii="Times New Roman" w:hAnsi="Times New Roman"/>
                <w:lang w:val="ro-RO"/>
              </w:rPr>
              <w:t xml:space="preserve"> </w:t>
            </w:r>
          </w:p>
          <w:p w:rsidR="005C5431" w:rsidRDefault="005C543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5C5431" w:rsidRDefault="000963A1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hyperlink r:id="rId9" w:history="1">
              <w:r w:rsidR="005C5431" w:rsidRPr="00C20CCD">
                <w:rPr>
                  <w:rStyle w:val="Hyperlink"/>
                  <w:rFonts w:ascii="Times New Roman" w:hAnsi="Times New Roman"/>
                  <w:lang w:val="ro-RO"/>
                </w:rPr>
                <w:t>https://eeas.europa.eu/headquarters/headquarters-homepage_en</w:t>
              </w:r>
            </w:hyperlink>
            <w:r w:rsidR="005C5431">
              <w:rPr>
                <w:rFonts w:ascii="Times New Roman" w:hAnsi="Times New Roman"/>
                <w:lang w:val="ro-RO"/>
              </w:rPr>
              <w:t xml:space="preserve"> </w:t>
            </w:r>
          </w:p>
          <w:p w:rsidR="007A6943" w:rsidRDefault="007A694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7A6943" w:rsidRPr="005C5431" w:rsidRDefault="007A6943" w:rsidP="0060600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538B0">
              <w:rPr>
                <w:rFonts w:ascii="Times New Roman" w:hAnsi="Times New Roman"/>
                <w:b/>
                <w:lang w:val="ro-RO"/>
              </w:rPr>
              <w:t>Punctaj:</w:t>
            </w:r>
            <w:r>
              <w:rPr>
                <w:rFonts w:ascii="Times New Roman" w:hAnsi="Times New Roman"/>
                <w:lang w:val="ro-RO"/>
              </w:rPr>
              <w:t xml:space="preserve"> 0,</w:t>
            </w:r>
            <w:r w:rsidR="00606007">
              <w:rPr>
                <w:rFonts w:ascii="Times New Roman" w:hAnsi="Times New Roman"/>
                <w:lang w:val="ro-RO"/>
              </w:rPr>
              <w:t>6</w:t>
            </w:r>
            <w:r w:rsidRPr="00E538B0">
              <w:rPr>
                <w:rFonts w:ascii="Times New Roman" w:hAnsi="Times New Roman"/>
                <w:lang w:val="ro-RO"/>
              </w:rPr>
              <w:t xml:space="preserve"> din 3.</w:t>
            </w:r>
          </w:p>
        </w:tc>
      </w:tr>
      <w:tr w:rsidR="008751D4" w:rsidRPr="008E60DA" w:rsidTr="00D402BB">
        <w:tc>
          <w:tcPr>
            <w:tcW w:w="2941" w:type="dxa"/>
            <w:shd w:val="clear" w:color="auto" w:fill="auto"/>
          </w:tcPr>
          <w:p w:rsidR="008751D4" w:rsidRPr="006E1DC8" w:rsidRDefault="008751D4" w:rsidP="00176499">
            <w:pPr>
              <w:spacing w:after="0" w:line="240" w:lineRule="auto"/>
              <w:ind w:left="34" w:hanging="34"/>
              <w:rPr>
                <w:rFonts w:ascii="Times New Roman" w:hAnsi="Times New Roman"/>
                <w:lang w:val="ro-RO"/>
              </w:rPr>
            </w:pPr>
            <w:r w:rsidRPr="006E1DC8">
              <w:rPr>
                <w:rFonts w:ascii="Times New Roman" w:hAnsi="Times New Roman"/>
                <w:lang w:val="ro-RO"/>
              </w:rPr>
              <w:t xml:space="preserve">6. </w:t>
            </w:r>
            <w:r w:rsidR="00176499">
              <w:rPr>
                <w:rFonts w:ascii="Times New Roman" w:hAnsi="Times New Roman"/>
                <w:bCs/>
                <w:lang w:val="ro-RO"/>
              </w:rPr>
              <w:t xml:space="preserve">Uniunii Europene ca </w:t>
            </w:r>
            <w:r w:rsidRPr="006E1DC8">
              <w:rPr>
                <w:rFonts w:ascii="Times New Roman" w:hAnsi="Times New Roman"/>
                <w:bCs/>
                <w:lang w:val="ro-RO"/>
              </w:rPr>
              <w:t xml:space="preserve"> </w:t>
            </w:r>
            <w:r w:rsidR="00176499">
              <w:rPr>
                <w:rFonts w:ascii="Times New Roman" w:hAnsi="Times New Roman"/>
                <w:lang w:val="ro-RO"/>
              </w:rPr>
              <w:t>actor global</w:t>
            </w:r>
          </w:p>
        </w:tc>
        <w:tc>
          <w:tcPr>
            <w:tcW w:w="2700" w:type="dxa"/>
            <w:shd w:val="clear" w:color="auto" w:fill="auto"/>
          </w:tcPr>
          <w:p w:rsidR="008751D4" w:rsidRPr="006E1DC8" w:rsidRDefault="00176499" w:rsidP="00176499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="008751D4" w:rsidRPr="006E1DC8">
              <w:rPr>
                <w:rFonts w:ascii="Times New Roman" w:hAnsi="Times New Roman"/>
                <w:lang w:val="ro-RO"/>
              </w:rPr>
              <w:t xml:space="preserve">inteza şi analiza </w:t>
            </w:r>
            <w:r>
              <w:rPr>
                <w:rFonts w:ascii="Times New Roman" w:hAnsi="Times New Roman"/>
                <w:lang w:val="ro-RO"/>
              </w:rPr>
              <w:t>documentelor oficiale</w:t>
            </w:r>
            <w:r w:rsidR="008751D4" w:rsidRPr="006E1DC8">
              <w:rPr>
                <w:rFonts w:ascii="Times New Roman" w:hAnsi="Times New Roman"/>
                <w:lang w:val="ro-RO"/>
              </w:rPr>
              <w:t>, d</w:t>
            </w:r>
            <w:r w:rsidR="008E60DA">
              <w:rPr>
                <w:rFonts w:ascii="Times New Roman" w:hAnsi="Times New Roman"/>
                <w:lang w:val="ro-RO"/>
              </w:rPr>
              <w:t xml:space="preserve">iscuția, comparația. </w:t>
            </w:r>
          </w:p>
        </w:tc>
        <w:tc>
          <w:tcPr>
            <w:tcW w:w="4566" w:type="dxa"/>
            <w:shd w:val="clear" w:color="auto" w:fill="auto"/>
          </w:tcPr>
          <w:p w:rsidR="008E60DA" w:rsidRDefault="008E60DA" w:rsidP="00D402B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E60DA">
              <w:rPr>
                <w:rFonts w:ascii="Times New Roman" w:hAnsi="Times New Roman"/>
                <w:lang w:val="ro-RO"/>
              </w:rPr>
              <w:t>Studenții citesc documentul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CF7128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EU global strategy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disponibil la </w:t>
            </w:r>
            <w:r w:rsidR="00D402BB">
              <w:rPr>
                <w:rFonts w:ascii="Times New Roman" w:hAnsi="Times New Roman"/>
                <w:sz w:val="24"/>
                <w:szCs w:val="24"/>
                <w:lang w:val="ro-RO"/>
              </w:rPr>
              <w:t>(</w:t>
            </w:r>
            <w:hyperlink r:id="rId10" w:history="1">
              <w:r w:rsidRPr="00CF7128">
                <w:rPr>
                  <w:rStyle w:val="Hyperlink"/>
                  <w:rFonts w:ascii="Times New Roman" w:hAnsi="Times New Roman"/>
                  <w:sz w:val="24"/>
                  <w:szCs w:val="24"/>
                  <w:lang w:val="ro-RO"/>
                </w:rPr>
                <w:t>https://europa.eu/globalstrategy/en/global-strategy-foreign-and-security-policy-european-union</w:t>
              </w:r>
            </w:hyperlink>
            <w:r w:rsidR="00D402BB">
              <w:rPr>
                <w:rFonts w:ascii="Times New Roman" w:hAnsi="Times New Roman"/>
                <w:lang w:val="ro-RO"/>
              </w:rPr>
              <w:t>),</w:t>
            </w:r>
            <w:r w:rsidRPr="008E60DA">
              <w:rPr>
                <w:rFonts w:ascii="Times New Roman" w:hAnsi="Times New Roman"/>
                <w:lang w:val="ro-RO"/>
              </w:rPr>
              <w:t xml:space="preserve"> </w:t>
            </w:r>
            <w:r w:rsidR="00D402BB">
              <w:rPr>
                <w:rFonts w:ascii="Times New Roman" w:hAnsi="Times New Roman"/>
                <w:lang w:val="ro-RO"/>
              </w:rPr>
              <w:t xml:space="preserve">compară UE cu alți actori globali (statali sau non-statali) </w:t>
            </w:r>
            <w:r w:rsidR="00D402BB">
              <w:rPr>
                <w:rFonts w:ascii="Times New Roman" w:hAnsi="Times New Roman"/>
                <w:sz w:val="24"/>
                <w:szCs w:val="24"/>
                <w:lang w:val="ro-RO"/>
              </w:rPr>
              <w:t>si analizează acțiunea externă a UE</w:t>
            </w:r>
            <w:r w:rsidR="00D402BB" w:rsidRPr="00CF712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pe baza unei </w:t>
            </w:r>
            <w:r w:rsidR="00D402BB" w:rsidRPr="0067384F">
              <w:rPr>
                <w:rFonts w:ascii="Times New Roman" w:hAnsi="Times New Roman"/>
                <w:sz w:val="24"/>
                <w:szCs w:val="24"/>
                <w:lang w:val="ro-RO"/>
              </w:rPr>
              <w:t>teorii</w:t>
            </w:r>
            <w:r w:rsidR="00D402BB" w:rsidRPr="00CF712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PEUE și a unei </w:t>
            </w:r>
            <w:r w:rsidR="00D402BB" w:rsidRPr="0067384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metode </w:t>
            </w:r>
            <w:r w:rsidR="00D402BB" w:rsidRPr="00CF7128">
              <w:rPr>
                <w:rFonts w:ascii="Times New Roman" w:hAnsi="Times New Roman"/>
                <w:sz w:val="24"/>
                <w:szCs w:val="24"/>
                <w:lang w:val="ro-RO"/>
              </w:rPr>
              <w:t>de analiză</w:t>
            </w:r>
            <w:r w:rsidR="00D402B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</w:p>
          <w:p w:rsidR="00521605" w:rsidRDefault="00521605" w:rsidP="00D402BB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1-2 pagini.</w:t>
            </w:r>
          </w:p>
          <w:p w:rsidR="007A6943" w:rsidRPr="008E60DA" w:rsidRDefault="007A6943" w:rsidP="0060600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E538B0">
              <w:rPr>
                <w:rFonts w:ascii="Times New Roman" w:hAnsi="Times New Roman"/>
                <w:b/>
                <w:lang w:val="ro-RO"/>
              </w:rPr>
              <w:t>Punctaj:</w:t>
            </w:r>
            <w:r>
              <w:rPr>
                <w:rFonts w:ascii="Times New Roman" w:hAnsi="Times New Roman"/>
                <w:lang w:val="ro-RO"/>
              </w:rPr>
              <w:t xml:space="preserve"> 0,</w:t>
            </w:r>
            <w:r w:rsidR="00606007">
              <w:rPr>
                <w:rFonts w:ascii="Times New Roman" w:hAnsi="Times New Roman"/>
                <w:lang w:val="ro-RO"/>
              </w:rPr>
              <w:t>6</w:t>
            </w:r>
            <w:r w:rsidRPr="00E538B0">
              <w:rPr>
                <w:rFonts w:ascii="Times New Roman" w:hAnsi="Times New Roman"/>
                <w:lang w:val="ro-RO"/>
              </w:rPr>
              <w:t xml:space="preserve"> din 3.</w:t>
            </w:r>
          </w:p>
        </w:tc>
      </w:tr>
    </w:tbl>
    <w:p w:rsidR="00765D3F" w:rsidRPr="00D402BB" w:rsidRDefault="00765D3F" w:rsidP="00765D3F">
      <w:pPr>
        <w:rPr>
          <w:b/>
          <w:bCs/>
          <w:lang w:val="fr-LU"/>
        </w:rPr>
      </w:pPr>
    </w:p>
    <w:p w:rsidR="00307A66" w:rsidRPr="00ED4177" w:rsidRDefault="00765D3F" w:rsidP="00765D3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lang w:val="ro-RO"/>
        </w:rPr>
      </w:pPr>
      <w:r w:rsidRPr="00ED4177">
        <w:rPr>
          <w:rFonts w:ascii="Times New Roman" w:hAnsi="Times New Roman"/>
          <w:b/>
          <w:bCs/>
          <w:lang w:val="ro-RO"/>
        </w:rPr>
        <w:t>Coroborarea conținuturilor disciplinei cu așteptările reprezentanților comunității epistemice, asociațiilor profesionale și angajatorilor reprezentativi din domeniul aferent programului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ED4177" w:rsidRPr="00572A65" w:rsidTr="00ED4177">
        <w:tc>
          <w:tcPr>
            <w:tcW w:w="10207" w:type="dxa"/>
            <w:shd w:val="clear" w:color="auto" w:fill="auto"/>
          </w:tcPr>
          <w:p w:rsidR="00ED4177" w:rsidRPr="00562868" w:rsidRDefault="00ED4177" w:rsidP="00825AD7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Disciplina </w:t>
            </w:r>
            <w:r w:rsidR="003E3D60">
              <w:rPr>
                <w:rFonts w:ascii="Times New Roman" w:hAnsi="Times New Roman"/>
                <w:lang w:val="ro-RO"/>
              </w:rPr>
              <w:t xml:space="preserve">Politica Externă a Uniunii Europene </w:t>
            </w:r>
            <w:r w:rsidR="00B9695E">
              <w:rPr>
                <w:rFonts w:ascii="Times New Roman" w:hAnsi="Times New Roman"/>
                <w:lang w:val="ro-RO"/>
              </w:rPr>
              <w:t xml:space="preserve">pregătește </w:t>
            </w:r>
            <w:r w:rsidR="00CC698F">
              <w:rPr>
                <w:rFonts w:ascii="Times New Roman" w:hAnsi="Times New Roman"/>
                <w:lang w:val="ro-RO"/>
              </w:rPr>
              <w:t xml:space="preserve">viitorul specialist în Relații Internaționale și Studii Europene </w:t>
            </w:r>
            <w:r w:rsidR="00BE738A">
              <w:rPr>
                <w:rFonts w:ascii="Times New Roman" w:hAnsi="Times New Roman"/>
                <w:lang w:val="ro-RO"/>
              </w:rPr>
              <w:t xml:space="preserve">pentru un domeniu relativ nou si dinamic </w:t>
            </w:r>
            <w:r w:rsidR="004E42E4">
              <w:rPr>
                <w:rFonts w:ascii="Times New Roman" w:hAnsi="Times New Roman"/>
                <w:lang w:val="ro-RO"/>
              </w:rPr>
              <w:t xml:space="preserve">care oferă oportunității profesionale </w:t>
            </w:r>
            <w:r w:rsidR="00E9140C">
              <w:rPr>
                <w:rFonts w:ascii="Times New Roman" w:hAnsi="Times New Roman"/>
                <w:lang w:val="ro-RO"/>
              </w:rPr>
              <w:t xml:space="preserve">multiple: de cercetare (în cadrul institutelor naționale și internaționale), de participare activă în cadrul organizațiilor profesionale sau civile care activează la nivel transnațional (think-tankuri, organizații umanitare, etc.), de angajare în cadrul instituțiilor guvernamentale cu competențe externe (în măsura în care politica externă europeană va deveni </w:t>
            </w:r>
            <w:r w:rsidR="00B43908">
              <w:rPr>
                <w:rFonts w:ascii="Times New Roman" w:hAnsi="Times New Roman"/>
                <w:lang w:val="ro-RO"/>
              </w:rPr>
              <w:t xml:space="preserve">un domeniu tot mai comunitarizat, vor exista tot mai multe oportunități de angajare în cadrul Euro-birocrației). </w:t>
            </w:r>
          </w:p>
        </w:tc>
      </w:tr>
    </w:tbl>
    <w:p w:rsidR="00ED4177" w:rsidRPr="004B7406" w:rsidRDefault="00ED4177" w:rsidP="00ED4177">
      <w:pPr>
        <w:spacing w:after="0"/>
        <w:rPr>
          <w:rFonts w:ascii="Times New Roman" w:hAnsi="Times New Roman"/>
          <w:b/>
          <w:lang w:val="ro-RO"/>
        </w:rPr>
      </w:pPr>
    </w:p>
    <w:p w:rsidR="00D463EE" w:rsidRPr="00307A66" w:rsidRDefault="00D463EE" w:rsidP="00765D3F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7"/>
        <w:gridCol w:w="2588"/>
        <w:gridCol w:w="1930"/>
        <w:gridCol w:w="3937"/>
      </w:tblGrid>
      <w:tr w:rsidR="0096321A" w:rsidRPr="00307A66" w:rsidTr="00DB372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96321A" w:rsidRPr="00307A66" w:rsidTr="0096321A">
        <w:trPr>
          <w:trHeight w:val="1410"/>
        </w:trPr>
        <w:tc>
          <w:tcPr>
            <w:tcW w:w="0" w:type="auto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2D0B01" w:rsidRPr="00562868" w:rsidRDefault="002D0B01" w:rsidP="005536F2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 w:rsidRPr="006E07F0">
              <w:rPr>
                <w:rFonts w:ascii="Times New Roman" w:hAnsi="Times New Roman"/>
                <w:lang w:val="ro-RO"/>
              </w:rPr>
              <w:t>Utilizarea corectă şi precisă a vocabularului disciplinei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:rsidR="006F5B64" w:rsidRDefault="002D0B01" w:rsidP="005536F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Cunoaşterea </w:t>
            </w:r>
            <w:r w:rsidR="006F5B64">
              <w:rPr>
                <w:rFonts w:ascii="Times New Roman" w:hAnsi="Times New Roman"/>
                <w:lang w:val="ro-RO"/>
              </w:rPr>
              <w:t>evoluţiei instituţiilor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6F5B64">
              <w:rPr>
                <w:rFonts w:ascii="Times New Roman" w:hAnsi="Times New Roman"/>
                <w:lang w:val="ro-RO"/>
              </w:rPr>
              <w:t>şi mecanismelor decizionale în domeniul politicii externe europene.</w:t>
            </w:r>
          </w:p>
          <w:p w:rsidR="006F5B64" w:rsidRPr="00D44EB1" w:rsidRDefault="006F5B64" w:rsidP="005536F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Cunoaşterea dimensiunilor analizei politicii externe a UE.</w:t>
            </w:r>
          </w:p>
          <w:p w:rsidR="006F5B64" w:rsidRPr="00562868" w:rsidRDefault="006F5B64" w:rsidP="005536F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Identificarea principalelor teorii explicative ale politicii externe europene.</w:t>
            </w:r>
          </w:p>
        </w:tc>
        <w:tc>
          <w:tcPr>
            <w:tcW w:w="0" w:type="auto"/>
            <w:shd w:val="clear" w:color="auto" w:fill="auto"/>
          </w:tcPr>
          <w:p w:rsidR="002D0B01" w:rsidRPr="00562868" w:rsidRDefault="00DB6A5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 xml:space="preserve">Examen oral pe baza unui set de subiecte comunicat în prealabil. </w:t>
            </w:r>
            <w:r w:rsidR="002D0B01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3937" w:type="dxa"/>
            <w:shd w:val="clear" w:color="auto" w:fill="auto"/>
          </w:tcPr>
          <w:p w:rsidR="002D0B01" w:rsidRPr="00562868" w:rsidRDefault="002D0B01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486C18">
              <w:rPr>
                <w:rFonts w:ascii="Times New Roman" w:hAnsi="Times New Roman"/>
                <w:lang w:val="ro-RO"/>
              </w:rPr>
              <w:t>70%</w:t>
            </w:r>
          </w:p>
        </w:tc>
      </w:tr>
      <w:tr w:rsidR="0096321A" w:rsidRPr="0096321A" w:rsidTr="00345E73">
        <w:trPr>
          <w:trHeight w:val="2114"/>
        </w:trPr>
        <w:tc>
          <w:tcPr>
            <w:tcW w:w="0" w:type="auto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9.2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2D0B01" w:rsidRPr="00562868" w:rsidRDefault="002D0B01" w:rsidP="0096321A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247579">
              <w:rPr>
                <w:rFonts w:ascii="Times New Roman" w:hAnsi="Times New Roman"/>
                <w:lang w:val="ro-RO"/>
              </w:rPr>
              <w:t xml:space="preserve">-Participarea </w:t>
            </w:r>
            <w:r w:rsidR="0096321A">
              <w:rPr>
                <w:rFonts w:ascii="Times New Roman" w:hAnsi="Times New Roman"/>
                <w:lang w:val="ro-RO"/>
              </w:rPr>
              <w:t>la seminar și îndeplinirea sarcinilor indicate (cf. observațiilor  din tabelul de mai sus)</w:t>
            </w:r>
          </w:p>
        </w:tc>
        <w:tc>
          <w:tcPr>
            <w:tcW w:w="0" w:type="auto"/>
            <w:shd w:val="clear" w:color="auto" w:fill="auto"/>
          </w:tcPr>
          <w:p w:rsidR="002D0B01" w:rsidRPr="00562868" w:rsidRDefault="00125877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 continuă pe parcursul seminarului</w:t>
            </w:r>
          </w:p>
        </w:tc>
        <w:tc>
          <w:tcPr>
            <w:tcW w:w="3937" w:type="dxa"/>
            <w:shd w:val="clear" w:color="auto" w:fill="auto"/>
          </w:tcPr>
          <w:p w:rsidR="002D0B01" w:rsidRPr="00562868" w:rsidRDefault="002D0B01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96321A" w:rsidRPr="0096321A" w:rsidTr="00DB3728">
        <w:tc>
          <w:tcPr>
            <w:tcW w:w="0" w:type="auto"/>
            <w:vMerge w:val="restart"/>
            <w:shd w:val="clear" w:color="auto" w:fill="auto"/>
          </w:tcPr>
          <w:p w:rsidR="00C14C76" w:rsidRPr="00562868" w:rsidRDefault="00F601C2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</w:t>
            </w:r>
            <w:r w:rsidR="00C14C76">
              <w:rPr>
                <w:rFonts w:ascii="Times New Roman" w:hAnsi="Times New Roman"/>
                <w:lang w:val="ro-RO"/>
              </w:rPr>
              <w:t xml:space="preserve"> Laborator</w:t>
            </w:r>
            <w:r w:rsidR="00577794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6321A" w:rsidRPr="0096321A" w:rsidTr="00DB3728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96321A" w:rsidTr="002D0B01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E7652D" w:rsidRPr="00572A65" w:rsidTr="002D0B01">
        <w:tc>
          <w:tcPr>
            <w:tcW w:w="10222" w:type="dxa"/>
            <w:gridSpan w:val="4"/>
            <w:shd w:val="clear" w:color="auto" w:fill="auto"/>
          </w:tcPr>
          <w:p w:rsidR="00AD615F" w:rsidRDefault="00AD615F" w:rsidP="00AD615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486C18">
              <w:rPr>
                <w:rFonts w:ascii="Times New Roman" w:hAnsi="Times New Roman"/>
                <w:lang w:val="ro-RO"/>
              </w:rPr>
              <w:t xml:space="preserve">Identificarea corectă a principalelor teme studiate </w:t>
            </w:r>
          </w:p>
          <w:p w:rsidR="00AD615F" w:rsidRDefault="00AD615F" w:rsidP="00AD615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D615F">
              <w:rPr>
                <w:rFonts w:ascii="Times New Roman" w:hAnsi="Times New Roman"/>
                <w:lang w:val="ro-RO"/>
              </w:rPr>
              <w:t>Capacitatea de a utiliza la un nivel general conceptele disciplinei</w:t>
            </w:r>
          </w:p>
          <w:p w:rsidR="00E7652D" w:rsidRPr="00AD615F" w:rsidRDefault="00AD615F" w:rsidP="00AD615F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AD615F">
              <w:rPr>
                <w:rFonts w:ascii="Times New Roman" w:hAnsi="Times New Roman"/>
                <w:lang w:val="ro-RO"/>
              </w:rPr>
              <w:t>Capacitatea de a contextualiza corect cerinţele subiectelor de examen în bibliografia recomandată</w:t>
            </w:r>
          </w:p>
          <w:p w:rsidR="00F601C2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F900DA">
              <w:rPr>
                <w:rFonts w:ascii="Times New Roman" w:hAnsi="Times New Roman"/>
                <w:lang w:val="ro-RO"/>
              </w:rPr>
              <w:t xml:space="preserve"> 01.10.201</w:t>
            </w:r>
            <w:r w:rsidR="00074A36">
              <w:rPr>
                <w:rFonts w:ascii="Times New Roman" w:hAnsi="Times New Roman"/>
                <w:lang w:val="ro-RO"/>
              </w:rPr>
              <w:t>7</w:t>
            </w:r>
          </w:p>
          <w:p w:rsidR="00C14C76" w:rsidRPr="000B7024" w:rsidRDefault="00C14C76" w:rsidP="00F900DA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  <w:p w:rsidR="002662E3" w:rsidRPr="000B7024" w:rsidRDefault="002662E3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3A1" w:rsidRDefault="000963A1" w:rsidP="00C14C76">
      <w:pPr>
        <w:spacing w:after="0" w:line="240" w:lineRule="auto"/>
      </w:pPr>
      <w:r>
        <w:separator/>
      </w:r>
    </w:p>
  </w:endnote>
  <w:endnote w:type="continuationSeparator" w:id="0">
    <w:p w:rsidR="000963A1" w:rsidRDefault="000963A1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-RegularS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3A1" w:rsidRDefault="000963A1" w:rsidP="00C14C76">
      <w:pPr>
        <w:spacing w:after="0" w:line="240" w:lineRule="auto"/>
      </w:pPr>
      <w:r>
        <w:separator/>
      </w:r>
    </w:p>
  </w:footnote>
  <w:footnote w:type="continuationSeparator" w:id="0">
    <w:p w:rsidR="000963A1" w:rsidRDefault="000963A1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35D2E29"/>
    <w:multiLevelType w:val="hybridMultilevel"/>
    <w:tmpl w:val="FCD2A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961F7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3EE"/>
    <w:rsid w:val="00002F25"/>
    <w:rsid w:val="00003521"/>
    <w:rsid w:val="0000590A"/>
    <w:rsid w:val="00005FE6"/>
    <w:rsid w:val="00013121"/>
    <w:rsid w:val="00013C26"/>
    <w:rsid w:val="000341BA"/>
    <w:rsid w:val="00034764"/>
    <w:rsid w:val="0004131D"/>
    <w:rsid w:val="00047389"/>
    <w:rsid w:val="00074095"/>
    <w:rsid w:val="00074A36"/>
    <w:rsid w:val="00085CB7"/>
    <w:rsid w:val="000921F1"/>
    <w:rsid w:val="0009390E"/>
    <w:rsid w:val="000963A1"/>
    <w:rsid w:val="000A0543"/>
    <w:rsid w:val="000B22B8"/>
    <w:rsid w:val="000B7024"/>
    <w:rsid w:val="000E00F8"/>
    <w:rsid w:val="000E0E82"/>
    <w:rsid w:val="000F2239"/>
    <w:rsid w:val="00100D8F"/>
    <w:rsid w:val="00125877"/>
    <w:rsid w:val="001313BF"/>
    <w:rsid w:val="00133B82"/>
    <w:rsid w:val="0015280A"/>
    <w:rsid w:val="00166BA1"/>
    <w:rsid w:val="00176499"/>
    <w:rsid w:val="00190017"/>
    <w:rsid w:val="00195210"/>
    <w:rsid w:val="001B2726"/>
    <w:rsid w:val="001C759F"/>
    <w:rsid w:val="001F42E0"/>
    <w:rsid w:val="002026A3"/>
    <w:rsid w:val="002053CA"/>
    <w:rsid w:val="00217431"/>
    <w:rsid w:val="00221F56"/>
    <w:rsid w:val="0023140E"/>
    <w:rsid w:val="002462D7"/>
    <w:rsid w:val="00247579"/>
    <w:rsid w:val="00253B69"/>
    <w:rsid w:val="00262AC2"/>
    <w:rsid w:val="002662E3"/>
    <w:rsid w:val="002701C6"/>
    <w:rsid w:val="00282608"/>
    <w:rsid w:val="00283C83"/>
    <w:rsid w:val="002D0B01"/>
    <w:rsid w:val="002D4114"/>
    <w:rsid w:val="002E719E"/>
    <w:rsid w:val="002F4986"/>
    <w:rsid w:val="00307A66"/>
    <w:rsid w:val="00312233"/>
    <w:rsid w:val="00331618"/>
    <w:rsid w:val="003423F7"/>
    <w:rsid w:val="003445C6"/>
    <w:rsid w:val="00345E73"/>
    <w:rsid w:val="00354B08"/>
    <w:rsid w:val="00361FFF"/>
    <w:rsid w:val="00367D6B"/>
    <w:rsid w:val="003954C2"/>
    <w:rsid w:val="003A26F8"/>
    <w:rsid w:val="003A287D"/>
    <w:rsid w:val="003A3011"/>
    <w:rsid w:val="003B1571"/>
    <w:rsid w:val="003B2F87"/>
    <w:rsid w:val="003D2C45"/>
    <w:rsid w:val="003D4EF3"/>
    <w:rsid w:val="003D5AAE"/>
    <w:rsid w:val="003E0331"/>
    <w:rsid w:val="003E3D60"/>
    <w:rsid w:val="003F2563"/>
    <w:rsid w:val="00407254"/>
    <w:rsid w:val="0041256C"/>
    <w:rsid w:val="0042109F"/>
    <w:rsid w:val="00426314"/>
    <w:rsid w:val="00435F08"/>
    <w:rsid w:val="00437B03"/>
    <w:rsid w:val="00442C42"/>
    <w:rsid w:val="00452FD3"/>
    <w:rsid w:val="004558DA"/>
    <w:rsid w:val="004647E3"/>
    <w:rsid w:val="004901CE"/>
    <w:rsid w:val="004B2E5F"/>
    <w:rsid w:val="004B42A7"/>
    <w:rsid w:val="004B572C"/>
    <w:rsid w:val="004B6B47"/>
    <w:rsid w:val="004B6EC8"/>
    <w:rsid w:val="004B7406"/>
    <w:rsid w:val="004C610E"/>
    <w:rsid w:val="004D1313"/>
    <w:rsid w:val="004E42E4"/>
    <w:rsid w:val="00504812"/>
    <w:rsid w:val="00521605"/>
    <w:rsid w:val="005335FB"/>
    <w:rsid w:val="005341FA"/>
    <w:rsid w:val="00534900"/>
    <w:rsid w:val="00552019"/>
    <w:rsid w:val="005536F2"/>
    <w:rsid w:val="00562868"/>
    <w:rsid w:val="00572A65"/>
    <w:rsid w:val="00577794"/>
    <w:rsid w:val="00580F79"/>
    <w:rsid w:val="00586367"/>
    <w:rsid w:val="005964D9"/>
    <w:rsid w:val="005A15CF"/>
    <w:rsid w:val="005A1A33"/>
    <w:rsid w:val="005A4D2F"/>
    <w:rsid w:val="005A6907"/>
    <w:rsid w:val="005A710D"/>
    <w:rsid w:val="005B4D9D"/>
    <w:rsid w:val="005B6EEF"/>
    <w:rsid w:val="005C095E"/>
    <w:rsid w:val="005C5431"/>
    <w:rsid w:val="005D7508"/>
    <w:rsid w:val="005E2B2C"/>
    <w:rsid w:val="005E44E9"/>
    <w:rsid w:val="005F1BEF"/>
    <w:rsid w:val="005F7C5B"/>
    <w:rsid w:val="00606007"/>
    <w:rsid w:val="00660810"/>
    <w:rsid w:val="0067384F"/>
    <w:rsid w:val="00674F66"/>
    <w:rsid w:val="00683726"/>
    <w:rsid w:val="00686D00"/>
    <w:rsid w:val="006A2F0C"/>
    <w:rsid w:val="006B0FD2"/>
    <w:rsid w:val="006D40FB"/>
    <w:rsid w:val="006E1DC8"/>
    <w:rsid w:val="006E576E"/>
    <w:rsid w:val="006F5B64"/>
    <w:rsid w:val="006F7FFC"/>
    <w:rsid w:val="007179D2"/>
    <w:rsid w:val="007221E5"/>
    <w:rsid w:val="007241F6"/>
    <w:rsid w:val="0073600E"/>
    <w:rsid w:val="00746A29"/>
    <w:rsid w:val="00751556"/>
    <w:rsid w:val="0075423E"/>
    <w:rsid w:val="00765D3F"/>
    <w:rsid w:val="00766B93"/>
    <w:rsid w:val="00770BE0"/>
    <w:rsid w:val="0077266B"/>
    <w:rsid w:val="0077303D"/>
    <w:rsid w:val="007825D0"/>
    <w:rsid w:val="007859AF"/>
    <w:rsid w:val="0079137F"/>
    <w:rsid w:val="0079138F"/>
    <w:rsid w:val="007A6943"/>
    <w:rsid w:val="00821827"/>
    <w:rsid w:val="008227E3"/>
    <w:rsid w:val="00825AD7"/>
    <w:rsid w:val="008269A5"/>
    <w:rsid w:val="008308C7"/>
    <w:rsid w:val="00836787"/>
    <w:rsid w:val="00865069"/>
    <w:rsid w:val="00870C28"/>
    <w:rsid w:val="00873EB1"/>
    <w:rsid w:val="008751D4"/>
    <w:rsid w:val="0087655B"/>
    <w:rsid w:val="00882467"/>
    <w:rsid w:val="00897B63"/>
    <w:rsid w:val="008A4329"/>
    <w:rsid w:val="008A5B89"/>
    <w:rsid w:val="008B4E40"/>
    <w:rsid w:val="008C641B"/>
    <w:rsid w:val="008D0B24"/>
    <w:rsid w:val="008D1DB0"/>
    <w:rsid w:val="008E60DA"/>
    <w:rsid w:val="008F4066"/>
    <w:rsid w:val="00901B95"/>
    <w:rsid w:val="00914D8E"/>
    <w:rsid w:val="009301A8"/>
    <w:rsid w:val="009319B0"/>
    <w:rsid w:val="0094582F"/>
    <w:rsid w:val="00950720"/>
    <w:rsid w:val="0096321A"/>
    <w:rsid w:val="00984DCB"/>
    <w:rsid w:val="009B2379"/>
    <w:rsid w:val="009B66E6"/>
    <w:rsid w:val="009C1146"/>
    <w:rsid w:val="009C687C"/>
    <w:rsid w:val="009D4580"/>
    <w:rsid w:val="009F19C7"/>
    <w:rsid w:val="009F31A3"/>
    <w:rsid w:val="00A3609A"/>
    <w:rsid w:val="00A47B7B"/>
    <w:rsid w:val="00A5524C"/>
    <w:rsid w:val="00A56584"/>
    <w:rsid w:val="00A64700"/>
    <w:rsid w:val="00A74EA9"/>
    <w:rsid w:val="00A83770"/>
    <w:rsid w:val="00A8652B"/>
    <w:rsid w:val="00AD4D7F"/>
    <w:rsid w:val="00AD615F"/>
    <w:rsid w:val="00AD7FFB"/>
    <w:rsid w:val="00AE66C6"/>
    <w:rsid w:val="00AF08E6"/>
    <w:rsid w:val="00AF7CC8"/>
    <w:rsid w:val="00B009B0"/>
    <w:rsid w:val="00B117B0"/>
    <w:rsid w:val="00B27927"/>
    <w:rsid w:val="00B36103"/>
    <w:rsid w:val="00B43908"/>
    <w:rsid w:val="00B5391C"/>
    <w:rsid w:val="00B72DFE"/>
    <w:rsid w:val="00B87CF3"/>
    <w:rsid w:val="00B9695E"/>
    <w:rsid w:val="00BD45D4"/>
    <w:rsid w:val="00BE3F01"/>
    <w:rsid w:val="00BE738A"/>
    <w:rsid w:val="00C023CF"/>
    <w:rsid w:val="00C042D7"/>
    <w:rsid w:val="00C0721F"/>
    <w:rsid w:val="00C14C76"/>
    <w:rsid w:val="00C16984"/>
    <w:rsid w:val="00C33E80"/>
    <w:rsid w:val="00C3782B"/>
    <w:rsid w:val="00C725D7"/>
    <w:rsid w:val="00C83CA2"/>
    <w:rsid w:val="00C92A46"/>
    <w:rsid w:val="00CB174D"/>
    <w:rsid w:val="00CB19FA"/>
    <w:rsid w:val="00CB447A"/>
    <w:rsid w:val="00CC364E"/>
    <w:rsid w:val="00CC698F"/>
    <w:rsid w:val="00CE18F8"/>
    <w:rsid w:val="00CE7E27"/>
    <w:rsid w:val="00D03230"/>
    <w:rsid w:val="00D0341F"/>
    <w:rsid w:val="00D036CB"/>
    <w:rsid w:val="00D25008"/>
    <w:rsid w:val="00D351C6"/>
    <w:rsid w:val="00D402BB"/>
    <w:rsid w:val="00D44EB1"/>
    <w:rsid w:val="00D463EE"/>
    <w:rsid w:val="00D51066"/>
    <w:rsid w:val="00D655BC"/>
    <w:rsid w:val="00D73D2A"/>
    <w:rsid w:val="00D92874"/>
    <w:rsid w:val="00DA19B0"/>
    <w:rsid w:val="00DA3DC1"/>
    <w:rsid w:val="00DB3728"/>
    <w:rsid w:val="00DB6A56"/>
    <w:rsid w:val="00DC0D9E"/>
    <w:rsid w:val="00DC235D"/>
    <w:rsid w:val="00DD00CB"/>
    <w:rsid w:val="00DF0682"/>
    <w:rsid w:val="00E069F7"/>
    <w:rsid w:val="00E218CD"/>
    <w:rsid w:val="00E21AEC"/>
    <w:rsid w:val="00E31A00"/>
    <w:rsid w:val="00E538B0"/>
    <w:rsid w:val="00E57CC9"/>
    <w:rsid w:val="00E717A4"/>
    <w:rsid w:val="00E75DE5"/>
    <w:rsid w:val="00E7652D"/>
    <w:rsid w:val="00E83BCD"/>
    <w:rsid w:val="00E87B36"/>
    <w:rsid w:val="00E9140C"/>
    <w:rsid w:val="00E92DEA"/>
    <w:rsid w:val="00EA07B4"/>
    <w:rsid w:val="00EB5C1E"/>
    <w:rsid w:val="00EB6181"/>
    <w:rsid w:val="00EC2B24"/>
    <w:rsid w:val="00ED1BD4"/>
    <w:rsid w:val="00ED1C86"/>
    <w:rsid w:val="00ED4177"/>
    <w:rsid w:val="00EF377C"/>
    <w:rsid w:val="00F0501D"/>
    <w:rsid w:val="00F12993"/>
    <w:rsid w:val="00F21D3E"/>
    <w:rsid w:val="00F21ECA"/>
    <w:rsid w:val="00F601C2"/>
    <w:rsid w:val="00F64085"/>
    <w:rsid w:val="00F67F7D"/>
    <w:rsid w:val="00F70364"/>
    <w:rsid w:val="00F900DA"/>
    <w:rsid w:val="00F9120A"/>
    <w:rsid w:val="00F91EEC"/>
    <w:rsid w:val="00FA2A21"/>
    <w:rsid w:val="00FA5E92"/>
    <w:rsid w:val="00FA7ECE"/>
    <w:rsid w:val="00FD166F"/>
    <w:rsid w:val="00FD7EC5"/>
    <w:rsid w:val="00FE40CE"/>
    <w:rsid w:val="00FE5191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6478"/>
  <w15:docId w15:val="{BC67438C-7520-42D0-BE5E-BE79FC8E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paragraph" w:styleId="Footer">
    <w:name w:val="footer"/>
    <w:basedOn w:val="Normal"/>
    <w:link w:val="FooterChar"/>
    <w:rsid w:val="00283C83"/>
    <w:pPr>
      <w:tabs>
        <w:tab w:val="num" w:pos="720"/>
        <w:tab w:val="center" w:pos="4153"/>
        <w:tab w:val="right" w:pos="8306"/>
      </w:tabs>
      <w:spacing w:after="0" w:line="240" w:lineRule="auto"/>
      <w:ind w:left="720" w:hanging="720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283C83"/>
    <w:rPr>
      <w:rFonts w:ascii="Times New Roman" w:eastAsia="Times New Roman" w:hAnsi="Times New Roman"/>
      <w:lang w:val="en-AU" w:eastAsia="en-US"/>
    </w:rPr>
  </w:style>
  <w:style w:type="paragraph" w:customStyle="1" w:styleId="Default">
    <w:name w:val="Default"/>
    <w:rsid w:val="00ED41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51066"/>
    <w:rPr>
      <w:i/>
      <w:iCs/>
    </w:rPr>
  </w:style>
  <w:style w:type="character" w:styleId="Hyperlink">
    <w:name w:val="Hyperlink"/>
    <w:basedOn w:val="DefaultParagraphFont"/>
    <w:uiPriority w:val="99"/>
    <w:unhideWhenUsed/>
    <w:rsid w:val="005C543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60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ir.info/2015/02/19/simulating-europe-lesson-drawing-from-eu-decision-making-gam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uropa.eu/globalstrategy/en/global-strategy-foreign-and-security-policy-european-un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eas.europa.eu/headquarters/headquarters-homepage_en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A2CE2-4455-404F-9B57-FCA88B22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3274</TotalTime>
  <Pages>6</Pages>
  <Words>2065</Words>
  <Characters>11775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uvt</Company>
  <LinksUpToDate>false</LinksUpToDate>
  <CharactersWithSpaces>13813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Windows User</cp:lastModifiedBy>
  <cp:revision>233</cp:revision>
  <cp:lastPrinted>2018-02-26T08:16:00Z</cp:lastPrinted>
  <dcterms:created xsi:type="dcterms:W3CDTF">2014-01-13T07:16:00Z</dcterms:created>
  <dcterms:modified xsi:type="dcterms:W3CDTF">2018-02-26T08:21:00Z</dcterms:modified>
</cp:coreProperties>
</file>