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887"/>
        <w:gridCol w:w="6303"/>
      </w:tblGrid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CE43E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Filosofie și </w:t>
            </w:r>
            <w:r w:rsidR="00080CF7">
              <w:rPr>
                <w:rFonts w:ascii="Times New Roman" w:eastAsia="Times New Roman" w:hAnsi="Times New Roman" w:cs="Times New Roman"/>
              </w:rPr>
              <w:t>Științe</w:t>
            </w:r>
            <w:r>
              <w:rPr>
                <w:rFonts w:ascii="Times New Roman" w:eastAsia="Times New Roman" w:hAnsi="Times New Roman" w:cs="Times New Roman"/>
              </w:rPr>
              <w:t xml:space="preserve"> ale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05" w:rsidRPr="00032505" w:rsidRDefault="00032505" w:rsidP="00032505">
            <w:pPr>
              <w:jc w:val="both"/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</w:pPr>
            <w:r w:rsidRPr="00032505">
              <w:rPr>
                <w:rFonts w:ascii="Times New Roman" w:hAnsi="Times New Roman" w:cs="Times New Roman"/>
                <w:color w:val="auto"/>
              </w:rPr>
              <w:t>Jurnalism</w:t>
            </w:r>
            <w:r w:rsidR="00157ECF" w:rsidRPr="00032505">
              <w:rPr>
                <w:rFonts w:ascii="Times New Roman" w:hAnsi="Times New Roman" w:cs="Times New Roman"/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r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Comentator publicist - 264201; Corector (studii superioare) – 264202; Corespondent special (tara si strainatate) - 264203; Comentator radio – 264204; Corespondent presă – 204205; Critic de artă – 204206; Editorialist - 264207; Fotoreporter - 264208; Lector presă/editură – 264209; Publicist comentator - 264210; Redactor – 264211; Reporter (studii superioare) – 264212; Reporter operator - 264213; Secretar de emisie (studii superioare) - 264214; Secretar de redacţie (studii superioare) - 264215; Secretar responsabil de agenţie - 264216; Şef agenţie publicitate – 264217; Tehnoredactor  - 264218; Ziarist – 264219; Critic literar – 264220; Critic muzical – 264221; Comentator radio TV - 264222; Redactor rubrica - 264223; Jurnalist TV (studii medii) – 264224; Jurnalist TV (studii superioare) – 264225; Jurnalist TV senior – 264226 </w:t>
            </w:r>
          </w:p>
          <w:p w:rsidR="00A02638" w:rsidRDefault="00A02638" w:rsidP="00032505">
            <w:pPr>
              <w:ind w:left="2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FC0933" w:rsidRDefault="009B27AB" w:rsidP="0065423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P</w:t>
            </w:r>
            <w:r w:rsidR="00906D46">
              <w:rPr>
                <w:rFonts w:ascii="Times New Roman" w:hAnsi="Times New Roman" w:cs="Times New Roman"/>
                <w:color w:val="auto"/>
              </w:rPr>
              <w:t>ractica în instituții de profil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FC0933" w:rsidRDefault="00157ECF" w:rsidP="00906D46">
            <w:pPr>
              <w:spacing w:line="259" w:lineRule="auto"/>
              <w:rPr>
                <w:rFonts w:ascii="Times New Roman" w:hAnsi="Times New Roman" w:cs="Times New Roman"/>
                <w:color w:val="auto"/>
              </w:rPr>
            </w:pPr>
            <w:r w:rsidRPr="00FC093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after="160" w:line="259" w:lineRule="auto"/>
              <w:rPr>
                <w:color w:val="auto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157ECF" w:rsidP="00032505">
            <w:pPr>
              <w:spacing w:after="160" w:line="259" w:lineRule="auto"/>
              <w:rPr>
                <w:color w:val="auto"/>
              </w:rPr>
            </w:pPr>
            <w:r w:rsidRPr="00B95A35">
              <w:rPr>
                <w:color w:val="auto"/>
              </w:rPr>
              <w:t xml:space="preserve"> </w:t>
            </w:r>
            <w:r w:rsidR="00906D46" w:rsidRPr="00FC0933">
              <w:rPr>
                <w:rFonts w:ascii="Times New Roman" w:hAnsi="Times New Roman" w:cs="Times New Roman"/>
                <w:color w:val="auto"/>
              </w:rPr>
              <w:t>Lect.univ. dr. Ioana VID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906D46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CF5297" w:rsidP="00365873"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r>
              <w:rPr>
                <w:rFonts w:ascii="Times New Roman" w:eastAsia="Times New Roman" w:hAnsi="Times New Roman" w:cs="Times New Roman"/>
              </w:rPr>
              <w:t xml:space="preserve">2.6 Tipul de evaluare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365873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6"/>
              </w:rPr>
              <w:t>C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>
              <w:rPr>
                <w:rFonts w:ascii="Times New Roman" w:eastAsia="Times New Roman" w:hAnsi="Times New Roman" w:cs="Times New Roman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examen; C = colocviu, V = verificare. </w:t>
      </w:r>
    </w:p>
    <w:p w:rsidR="00A02638" w:rsidRDefault="00080CF7">
      <w:pPr>
        <w:spacing w:after="278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** O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9" w:type="dxa"/>
            <w:gridSpan w:val="2"/>
          </w:tcPr>
          <w:p w:rsidR="00CE43E6" w:rsidRDefault="00365873">
            <w:r>
              <w:t>2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/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906D46">
            <w:r>
              <w:t>2</w:t>
            </w:r>
          </w:p>
        </w:tc>
      </w:tr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9" w:type="dxa"/>
            <w:gridSpan w:val="2"/>
          </w:tcPr>
          <w:p w:rsidR="00CE43E6" w:rsidRDefault="00365873"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3.5 curs</w:t>
            </w:r>
          </w:p>
        </w:tc>
        <w:tc>
          <w:tcPr>
            <w:tcW w:w="567" w:type="dxa"/>
          </w:tcPr>
          <w:p w:rsidR="00CE43E6" w:rsidRDefault="00CE43E6"/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3.6 semina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r/laborator</w:t>
            </w:r>
          </w:p>
        </w:tc>
        <w:tc>
          <w:tcPr>
            <w:tcW w:w="721" w:type="dxa"/>
          </w:tcPr>
          <w:p w:rsidR="00CE43E6" w:rsidRDefault="00906D46">
            <w:r>
              <w:t>28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Distribuţia fondului de timp:</w:t>
            </w:r>
          </w:p>
        </w:tc>
        <w:tc>
          <w:tcPr>
            <w:tcW w:w="721" w:type="dxa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906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906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906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906D46">
            <w:r>
              <w:t>97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906D46">
            <w:r>
              <w:t>125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906D46">
            <w:r>
              <w:t>5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este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365873" w:rsidRDefault="00365873" w:rsidP="00906D46">
            <w:pPr>
              <w:ind w:firstLine="34"/>
              <w:rPr>
                <w:rFonts w:ascii="Times New Roman" w:hAnsi="Times New Roman" w:cs="Times New Roman"/>
              </w:rPr>
            </w:pPr>
            <w:r w:rsidRPr="00365873">
              <w:rPr>
                <w:rFonts w:ascii="Times New Roman" w:eastAsia="Arial" w:hAnsi="Times New Roman" w:cs="Times New Roman"/>
              </w:rPr>
              <w:t xml:space="preserve">Cunoștințe asociate disciplinelor: </w:t>
            </w:r>
            <w:r w:rsidR="00906D46">
              <w:rPr>
                <w:rFonts w:ascii="Times New Roman" w:eastAsia="Arial" w:hAnsi="Times New Roman" w:cs="Times New Roman"/>
              </w:rPr>
              <w:t>Genurile presei, Jurnalism TV, Jurnalism online, Jurnalism Radio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5873">
              <w:rPr>
                <w:rFonts w:ascii="Times New Roman" w:eastAsia="Times New Roman" w:hAnsi="Times New Roman" w:cs="Times New Roman"/>
              </w:rPr>
              <w:t xml:space="preserve">Utilizarea conceptelor și principiilor fundamentale </w:t>
            </w:r>
            <w:r w:rsidR="00906D46">
              <w:rPr>
                <w:rFonts w:ascii="Times New Roman" w:eastAsia="Times New Roman" w:hAnsi="Times New Roman" w:cs="Times New Roman"/>
              </w:rPr>
              <w:t>specifice jurnalismului</w:t>
            </w:r>
          </w:p>
          <w:p w:rsidR="00365873" w:rsidRDefault="00365873" w:rsidP="00321CA3">
            <w:r>
              <w:rPr>
                <w:rFonts w:ascii="Times New Roman" w:eastAsia="Times New Roman" w:hAnsi="Times New Roman" w:cs="Times New Roman"/>
              </w:rPr>
              <w:t>Aplicarea fundamentelor sistemulu</w:t>
            </w:r>
            <w:r w:rsidR="00906D46">
              <w:rPr>
                <w:rFonts w:ascii="Times New Roman" w:eastAsia="Times New Roman" w:hAnsi="Times New Roman" w:cs="Times New Roman"/>
              </w:rPr>
              <w:t>i mass-media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/>
      </w:tblPr>
      <w:tblGrid>
        <w:gridCol w:w="4396"/>
        <w:gridCol w:w="830"/>
        <w:gridCol w:w="4983"/>
      </w:tblGrid>
      <w:tr w:rsidR="00A02638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>
            <w:pPr>
              <w:jc w:val="both"/>
            </w:pPr>
          </w:p>
        </w:tc>
      </w:tr>
      <w:tr w:rsidR="00A02638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5.2 de desfăşurare a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Sală de seminar, proiector, laptop, internet, tablă. </w:t>
            </w:r>
          </w:p>
        </w:tc>
      </w:tr>
      <w:tr w:rsidR="00A02638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seminar. Bibliografia de seminar va fi împărțită între studenți spre lectură pentru fiecare seminar în parte - lectura este asumată de studenți pe bază de înscriere la titularul de seminar.  </w:t>
            </w:r>
          </w:p>
        </w:tc>
      </w:tr>
    </w:tbl>
    <w:p w:rsidR="00A02638" w:rsidRDefault="00080CF7">
      <w:pPr>
        <w:spacing w:after="15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68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9875A4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058" o:spid="_x0000_s1030" style="width:23.1pt;height:57.1pt;mso-position-horizontal-relative:char;mso-position-vertical-relative:line" coordsize="2936,7254">
                  <v:rect id="Rectangle 648" o:spid="_x0000_s1033" style="position:absolute;left:-3881;top:1615;width:9459;height:1696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49" o:spid="_x0000_s1032" style="position:absolute;left:-2181;top:1624;width:9195;height:2064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profesionale</w:t>
                          </w:r>
                        </w:p>
                      </w:txbxContent>
                    </v:textbox>
                  </v:rect>
                  <v:rect id="Rectangle 650" o:spid="_x0000_s1031" style="position:absolute;left:2183;top:-914;width:466;height:2064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873" w:rsidRDefault="00365873" w:rsidP="003658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A02638" w:rsidRDefault="00906D46" w:rsidP="00906D46">
            <w:pPr>
              <w:pStyle w:val="NoSpacing"/>
              <w:numPr>
                <w:ilvl w:val="0"/>
                <w:numId w:val="7"/>
              </w:numPr>
            </w:pPr>
            <w:r w:rsidRPr="00AB35CC">
              <w:rPr>
                <w:rFonts w:ascii="Times New Roman" w:hAnsi="Times New Roman"/>
                <w:lang w:val="ro-RO"/>
              </w:rPr>
              <w:t>Descrierea tipurilor diferite de audienţă / public implicate în comunicare</w:t>
            </w:r>
          </w:p>
        </w:tc>
      </w:tr>
      <w:tr w:rsidR="00A02638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9875A4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290" o:spid="_x0000_s1026" style="width:23.1pt;height:56pt;mso-position-horizontal-relative:char;mso-position-vertical-relative:line" coordsize="2936,7112">
                  <v:rect id="Rectangle 696" o:spid="_x0000_s1029" style="position:absolute;left:-3881;top:1534;width:9459;height:1696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97" o:spid="_x0000_s1028" style="position:absolute;left:-2028;top:1590;width:8889;height:2064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transversale</w:t>
                          </w:r>
                        </w:p>
                      </w:txbxContent>
                    </v:textbox>
                  </v:rect>
                  <v:rect id="Rectangle 698" o:spid="_x0000_s1027" style="position:absolute;left:2183;top:-873;width:466;height:2064;rotation:270" filled="f" stroked="f">
                    <v:textbox style="layout-flow:vertical;mso-layout-flow-alt:bottom-to-top" inset="0,0,0,0">
                      <w:txbxContent>
                        <w:p w:rsidR="00877777" w:rsidRDefault="00877777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906D46" w:rsidRPr="00E43CC3" w:rsidRDefault="00906D46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Participarea la pr</w:t>
            </w:r>
            <w:r>
              <w:rPr>
                <w:rFonts w:ascii="Times New Roman" w:hAnsi="Times New Roman"/>
                <w:lang w:val="ro-RO"/>
              </w:rPr>
              <w:t>oiecte</w:t>
            </w:r>
            <w:r w:rsidRPr="00AB35CC">
              <w:rPr>
                <w:rFonts w:ascii="Times New Roman" w:hAnsi="Times New Roman"/>
                <w:lang w:val="ro-RO"/>
              </w:rPr>
              <w:t xml:space="preserve">, compatibile cu cerinţele integrării în </w:t>
            </w:r>
            <w:r>
              <w:rPr>
                <w:rFonts w:ascii="Times New Roman" w:hAnsi="Times New Roman"/>
                <w:lang w:val="ro-RO"/>
              </w:rPr>
              <w:t>instituţile de presă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Pr="00906D46" w:rsidRDefault="00321CA3" w:rsidP="00321CA3">
            <w:pPr>
              <w:pStyle w:val="ListParagraph"/>
              <w:numPr>
                <w:ilvl w:val="0"/>
                <w:numId w:val="7"/>
              </w:num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321CA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06D46" w:rsidRDefault="00906D46" w:rsidP="00906D46">
            <w:pPr>
              <w:pStyle w:val="ListParagraph"/>
            </w:pPr>
          </w:p>
        </w:tc>
      </w:tr>
    </w:tbl>
    <w:p w:rsidR="00A02638" w:rsidRDefault="00080CF7">
      <w:pPr>
        <w:spacing w:after="26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lastRenderedPageBreak/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3404"/>
        <w:gridCol w:w="6805"/>
      </w:tblGrid>
      <w:tr w:rsidR="00A02638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672E73" w:rsidP="00672E73">
            <w:pPr>
              <w:pStyle w:val="NoSpacing"/>
              <w:numPr>
                <w:ilvl w:val="0"/>
                <w:numId w:val="7"/>
              </w:numPr>
            </w:pPr>
            <w:r>
              <w:rPr>
                <w:rFonts w:ascii="Times New Roman" w:hAnsi="Times New Roman"/>
                <w:lang w:val="ro-RO"/>
              </w:rPr>
              <w:t>Punerea în practică a cunoştinţelor dobândite la cursurile de specialitate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obiective de cunoaștere (O.c.); 2. obiective de abilitare (O.ab.) și 3. obiective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647A2A" w:rsidRPr="00384623" w:rsidRDefault="00672E73" w:rsidP="00647A2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O.c.1</w:t>
            </w:r>
            <w:r w:rsidR="00647A2A">
              <w:rPr>
                <w:rFonts w:ascii="Times New Roman" w:eastAsia="Times New Roman" w:hAnsi="Times New Roman"/>
              </w:rPr>
              <w:t xml:space="preserve"> .</w:t>
            </w:r>
            <w:r w:rsidR="00647A2A" w:rsidRPr="00384623">
              <w:rPr>
                <w:rFonts w:ascii="Times New Roman" w:hAnsi="Times New Roman"/>
                <w:lang w:val="ro-RO"/>
              </w:rPr>
              <w:t xml:space="preserve"> Formarea unui limbaj de specialitate în domeniul mass-media</w:t>
            </w:r>
          </w:p>
          <w:p w:rsidR="00647A2A" w:rsidRDefault="00647A2A">
            <w:pPr>
              <w:spacing w:after="10" w:line="236" w:lineRule="auto"/>
              <w:ind w:left="720"/>
            </w:pP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>
              <w:rPr>
                <w:rFonts w:ascii="Times New Roman" w:eastAsia="Times New Roman" w:hAnsi="Times New Roman" w:cs="Times New Roman"/>
              </w:rPr>
              <w:t xml:space="preserve">(proiecterea, conducerea şi evaluarea activităţilor practice specifice; utilizarea unor metode, tehnici şi instrumente de investigare şi de aplicare) </w:t>
            </w:r>
          </w:p>
          <w:p w:rsidR="00672E73" w:rsidRDefault="00080CF7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>O.ab.1</w:t>
            </w:r>
            <w:r w:rsidR="00740B2F" w:rsidRPr="00672E73">
              <w:rPr>
                <w:rFonts w:ascii="Times New Roman" w:hAnsi="Times New Roman"/>
                <w:lang w:val="ro-RO"/>
              </w:rPr>
              <w:t xml:space="preserve"> </w:t>
            </w:r>
            <w:r w:rsidR="00672E73" w:rsidRPr="00672E73">
              <w:rPr>
                <w:rFonts w:ascii="Times New Roman" w:hAnsi="Times New Roman"/>
                <w:lang w:val="ro-RO"/>
              </w:rPr>
              <w:t>familiarizarea studenţilor cu tehnicile de documentare (de la documentarea în redacţie, pe calculator – aspecte deontologice, până la documentarea pe teren, selecţia şi abordarea surselor) în vedereealizării unui material jurnalistic</w:t>
            </w:r>
          </w:p>
          <w:p w:rsidR="00647A2A" w:rsidRPr="00672E73" w:rsidRDefault="00740B2F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 xml:space="preserve"> </w:t>
            </w:r>
            <w:r w:rsidR="00080CF7" w:rsidRPr="00672E73">
              <w:rPr>
                <w:rFonts w:ascii="Times New Roman" w:eastAsia="Times New Roman" w:hAnsi="Times New Roman"/>
              </w:rPr>
              <w:t xml:space="preserve">O.ab.2 </w:t>
            </w:r>
            <w:r w:rsidR="00647A2A" w:rsidRPr="00672E73">
              <w:rPr>
                <w:rFonts w:ascii="Times New Roman" w:hAnsi="Times New Roman"/>
                <w:lang w:val="ro-RO"/>
              </w:rPr>
              <w:t>Cunoaşterea importanţei mass-media pentru societate</w:t>
            </w:r>
          </w:p>
          <w:p w:rsidR="00A02638" w:rsidRDefault="00A02638" w:rsidP="00647A2A">
            <w:pPr>
              <w:pStyle w:val="NoSpacing"/>
              <w:ind w:left="720"/>
            </w:pPr>
          </w:p>
        </w:tc>
      </w:tr>
      <w:tr w:rsidR="00A0263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672E73" w:rsidRPr="00672E73" w:rsidRDefault="00080CF7" w:rsidP="00672E7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>O.at.1.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 </w:t>
            </w:r>
            <w:r w:rsidR="00672E73">
              <w:rPr>
                <w:rFonts w:ascii="Times New Roman" w:hAnsi="Times New Roman"/>
                <w:lang w:val="ro-RO"/>
              </w:rPr>
              <w:t>Î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nţelegerea şi aplicarea tehnicilor de redactare a </w:t>
            </w:r>
            <w:r w:rsidR="00672E73">
              <w:rPr>
                <w:rFonts w:ascii="Times New Roman" w:hAnsi="Times New Roman"/>
                <w:lang w:val="ro-RO"/>
              </w:rPr>
              <w:t>materialelor jurnalistice</w:t>
            </w:r>
          </w:p>
          <w:p w:rsidR="00A02638" w:rsidRDefault="00080CF7" w:rsidP="00672E7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O.at.2. Să explice relevanța disciplinei în co</w:t>
            </w:r>
            <w:r w:rsidR="00740B2F">
              <w:rPr>
                <w:rFonts w:ascii="Times New Roman" w:eastAsia="Times New Roman" w:hAnsi="Times New Roman" w:cs="Times New Roman"/>
              </w:rPr>
              <w:t>ntextul profilului specializă</w:t>
            </w:r>
            <w:r>
              <w:rPr>
                <w:rFonts w:ascii="Times New Roman" w:eastAsia="Times New Roman" w:hAnsi="Times New Roman" w:cs="Times New Roman"/>
              </w:rPr>
              <w:t xml:space="preserve">rii </w:t>
            </w:r>
          </w:p>
        </w:tc>
      </w:tr>
    </w:tbl>
    <w:p w:rsidR="00A02638" w:rsidRDefault="00080CF7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62313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3F" w:rsidRPr="0062313A" w:rsidRDefault="00AC753F" w:rsidP="00333722">
            <w:pPr>
              <w:rPr>
                <w:rFonts w:ascii="Times New Roman" w:hAnsi="Times New Roman" w:cs="Times New Roman"/>
              </w:rPr>
            </w:pPr>
          </w:p>
        </w:tc>
      </w:tr>
    </w:tbl>
    <w:p w:rsidR="00A02638" w:rsidRPr="0062313A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2328"/>
        <w:gridCol w:w="2552"/>
        <w:gridCol w:w="5120"/>
      </w:tblGrid>
      <w:tr w:rsidR="00A02638">
        <w:trPr>
          <w:trHeight w:val="4592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94" w:rsidRPr="00BE3D94" w:rsidRDefault="00080CF7" w:rsidP="009C0F7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Bibliografie </w:t>
            </w:r>
          </w:p>
        </w:tc>
      </w:tr>
      <w:tr w:rsidR="00A02638">
        <w:trPr>
          <w:trHeight w:val="5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laborator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CC2C61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C61" w:rsidRPr="00942D9C" w:rsidRDefault="00CC2C61" w:rsidP="0087777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 w:rsidRPr="00942D9C">
              <w:rPr>
                <w:sz w:val="22"/>
                <w:szCs w:val="22"/>
              </w:rPr>
              <w:t>1. Documentarea şi predocumentarea</w:t>
            </w:r>
          </w:p>
          <w:p w:rsidR="00CC2C61" w:rsidRDefault="009C3BFB" w:rsidP="0087777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87777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Pr="00942D9C" w:rsidRDefault="009C3BFB" w:rsidP="0087777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C61" w:rsidRPr="00942D9C" w:rsidRDefault="00E6200F" w:rsidP="00E6200F">
            <w:pPr>
              <w:ind w:right="98"/>
              <w:rPr>
                <w:rFonts w:ascii="Times New Roman" w:hAnsi="Times New Roman" w:cs="Times New Roman"/>
                <w:lang w:val="ro-RO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>Dezbatere interactivă şi aplicații activparticipative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C61" w:rsidRDefault="00CC2C61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2h</w:t>
            </w:r>
          </w:p>
          <w:p w:rsidR="00CC2C61" w:rsidRPr="00942D9C" w:rsidRDefault="00E6200F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 w:rsidR="00CC2C61" w:rsidRPr="00942D9C">
              <w:rPr>
                <w:rFonts w:ascii="Times New Roman" w:eastAsia="Times New Roman" w:hAnsi="Times New Roman" w:cs="Times New Roman"/>
              </w:rPr>
              <w:t>.</w:t>
            </w:r>
          </w:p>
          <w:p w:rsidR="00CC2C61" w:rsidRPr="00942D9C" w:rsidRDefault="00CC2C61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eastAsia="Times New Roman" w:hAnsi="Times New Roman" w:cs="Times New Roman"/>
              </w:rPr>
              <w:t xml:space="preserve">Rad,Ilie, </w:t>
            </w:r>
            <w:r w:rsidRPr="00942D9C">
              <w:rPr>
                <w:rFonts w:ascii="Times New Roman" w:hAnsi="Times New Roman" w:cs="Times New Roman"/>
                <w:i/>
              </w:rPr>
              <w:t>Documentarea în jurnalism</w:t>
            </w:r>
            <w:r w:rsidRPr="00942D9C">
              <w:rPr>
                <w:rFonts w:ascii="Times New Roman" w:hAnsi="Times New Roman" w:cs="Times New Roman"/>
              </w:rPr>
              <w:t>, Ed. Tritonic, 2011.</w:t>
            </w:r>
          </w:p>
          <w:p w:rsidR="009C0F75" w:rsidRPr="00942D9C" w:rsidRDefault="009C0F75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Popescu, Cristian Florin, </w:t>
            </w:r>
            <w:r w:rsidR="00942D9C" w:rsidRPr="00942D9C">
              <w:rPr>
                <w:rFonts w:ascii="Times New Roman" w:hAnsi="Times New Roman" w:cs="Times New Roman"/>
                <w:i/>
              </w:rPr>
              <w:t>Manual de jurnalism</w:t>
            </w:r>
            <w:r w:rsidR="00942D9C" w:rsidRPr="00942D9C">
              <w:rPr>
                <w:rFonts w:ascii="Times New Roman" w:hAnsi="Times New Roman" w:cs="Times New Roman"/>
              </w:rPr>
              <w:t>, vol. I şi vol. II, Ed. Tritonic, Bucureşti, 2003.</w:t>
            </w:r>
          </w:p>
          <w:p w:rsidR="00CC2C61" w:rsidRPr="0062313A" w:rsidRDefault="00CC2C61" w:rsidP="00877777">
            <w:pPr>
              <w:rPr>
                <w:rFonts w:ascii="Times New Roman" w:hAnsi="Times New Roman" w:cs="Times New Roman"/>
              </w:rPr>
            </w:pPr>
          </w:p>
        </w:tc>
      </w:tr>
      <w:tr w:rsidR="00E6200F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Cum alegem titlurile?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Pr="00942D9C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0F" w:rsidRPr="00273B16" w:rsidRDefault="00E6200F" w:rsidP="00877777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E6200F" w:rsidRPr="006A420D" w:rsidRDefault="00E6200F" w:rsidP="008777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0F" w:rsidRPr="00942D9C" w:rsidRDefault="00E6200F" w:rsidP="00942D9C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942D9C">
              <w:rPr>
                <w:rFonts w:ascii="Times New Roman" w:eastAsia="Times New Roman" w:hAnsi="Times New Roman" w:cs="Times New Roman"/>
              </w:rPr>
              <w:t>2h</w:t>
            </w:r>
          </w:p>
          <w:p w:rsidR="00CF5297" w:rsidRDefault="00E6200F" w:rsidP="00942D9C">
            <w:pPr>
              <w:ind w:left="38" w:right="3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 w:rsidRPr="00942D9C">
              <w:rPr>
                <w:rFonts w:ascii="Times New Roman" w:hAnsi="Times New Roman" w:cs="Times New Roman"/>
              </w:rPr>
              <w:t xml:space="preserve"> </w:t>
            </w:r>
          </w:p>
          <w:p w:rsidR="00E6200F" w:rsidRPr="00942D9C" w:rsidRDefault="00E6200F" w:rsidP="00942D9C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Popescu, Cristian Florin, </w:t>
            </w:r>
            <w:r w:rsidRPr="00942D9C">
              <w:rPr>
                <w:rFonts w:ascii="Times New Roman" w:hAnsi="Times New Roman" w:cs="Times New Roman"/>
                <w:i/>
              </w:rPr>
              <w:t>Manual de jurnalism</w:t>
            </w:r>
            <w:r w:rsidRPr="00942D9C">
              <w:rPr>
                <w:rFonts w:ascii="Times New Roman" w:hAnsi="Times New Roman" w:cs="Times New Roman"/>
              </w:rPr>
              <w:t>, vol. I şi vol. II, Ed. Tritonic, Bucureşti, 2003.</w:t>
            </w:r>
          </w:p>
          <w:p w:rsidR="00E6200F" w:rsidRPr="00942D9C" w:rsidRDefault="00E6200F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E6200F" w:rsidRDefault="00E6200F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CF5297" w:rsidRPr="00942D9C" w:rsidRDefault="00CF5297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Zafiu, Rodica, </w:t>
            </w:r>
            <w:r w:rsidRPr="006A420D">
              <w:rPr>
                <w:rFonts w:ascii="Times New Roman" w:hAnsi="Times New Roman" w:cs="Times New Roman"/>
                <w:i/>
              </w:rPr>
              <w:t>Diversitate stilistică în româna actuală</w:t>
            </w:r>
            <w:r w:rsidRPr="006A420D">
              <w:rPr>
                <w:rFonts w:ascii="Times New Roman" w:hAnsi="Times New Roman" w:cs="Times New Roman"/>
              </w:rPr>
              <w:t>, Ed. Universităţii din Bucureşti, 2001.</w:t>
            </w:r>
          </w:p>
        </w:tc>
      </w:tr>
      <w:tr w:rsidR="00E6200F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Default="00CF5297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Relatarea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Pr="006A420D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0F" w:rsidRPr="00273B16" w:rsidRDefault="00E6200F" w:rsidP="00E6200F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E6200F" w:rsidRPr="006A420D" w:rsidRDefault="00E6200F" w:rsidP="00E6200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0F" w:rsidRPr="006A420D" w:rsidRDefault="00E6200F" w:rsidP="006A420D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6A420D">
              <w:rPr>
                <w:rFonts w:ascii="Times New Roman" w:eastAsia="Times New Roman" w:hAnsi="Times New Roman" w:cs="Times New Roman"/>
              </w:rPr>
              <w:t>2h</w:t>
            </w:r>
          </w:p>
          <w:p w:rsidR="00E6200F" w:rsidRPr="006A420D" w:rsidRDefault="00E6200F" w:rsidP="00E6200F">
            <w:pPr>
              <w:ind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anterioare.</w:t>
            </w:r>
          </w:p>
          <w:p w:rsidR="00E6200F" w:rsidRPr="006A420D" w:rsidRDefault="00E6200F" w:rsidP="006A420D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2003.</w:t>
            </w:r>
          </w:p>
          <w:p w:rsidR="00E6200F" w:rsidRDefault="00E6200F" w:rsidP="00CF529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Preda, Sorin, </w:t>
            </w:r>
            <w:r w:rsidRPr="006A420D">
              <w:rPr>
                <w:rFonts w:ascii="Times New Roman" w:hAnsi="Times New Roman" w:cs="Times New Roman"/>
                <w:i/>
              </w:rPr>
              <w:t>Tehnici de redactare în presa scrisă</w:t>
            </w:r>
            <w:r w:rsidRPr="006A420D">
              <w:rPr>
                <w:rFonts w:ascii="Times New Roman" w:hAnsi="Times New Roman" w:cs="Times New Roman"/>
              </w:rPr>
              <w:t>, Ed. Polirom, Iaşi, 2006.</w:t>
            </w:r>
          </w:p>
          <w:p w:rsidR="00CF5297" w:rsidRPr="00942D9C" w:rsidRDefault="00CF5297" w:rsidP="00CF529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CF5297" w:rsidRPr="006A420D" w:rsidRDefault="00CF5297" w:rsidP="00CF529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</w:p>
        </w:tc>
      </w:tr>
      <w:tr w:rsidR="00E6200F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Pr="006A420D" w:rsidRDefault="00E6200F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CF5297">
              <w:rPr>
                <w:sz w:val="22"/>
                <w:szCs w:val="22"/>
              </w:rPr>
              <w:t>.Portretul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9C3BFB" w:rsidRPr="006A420D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0F" w:rsidRPr="00273B16" w:rsidRDefault="00E6200F" w:rsidP="00E6200F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E6200F" w:rsidRPr="006A420D" w:rsidRDefault="00E6200F" w:rsidP="00E6200F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 w:cs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877777" w:rsidP="006A420D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25823">
              <w:rPr>
                <w:rFonts w:ascii="Times New Roman" w:eastAsia="Times New Roman" w:hAnsi="Times New Roman" w:cs="Times New Roman"/>
              </w:rPr>
              <w:t>h</w:t>
            </w:r>
          </w:p>
          <w:p w:rsidR="00E6200F" w:rsidRDefault="00D25823" w:rsidP="006A420D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5823" w:rsidRDefault="00D25823" w:rsidP="006A420D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</w:t>
            </w:r>
          </w:p>
          <w:p w:rsidR="00D25823" w:rsidRPr="00942D9C" w:rsidRDefault="00D25823" w:rsidP="00D25823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D25823" w:rsidRDefault="00D25823" w:rsidP="00D25823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D25823" w:rsidRPr="006A420D" w:rsidRDefault="00D25823" w:rsidP="00D25823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Preda, Sorin, </w:t>
            </w:r>
            <w:r w:rsidRPr="00D25823">
              <w:rPr>
                <w:rFonts w:ascii="Times New Roman" w:hAnsi="Times New Roman" w:cs="Times New Roman"/>
                <w:i/>
              </w:rPr>
              <w:t>Jurnalismul cultural și de opinie</w:t>
            </w:r>
            <w:r>
              <w:rPr>
                <w:rFonts w:ascii="Times New Roman" w:hAnsi="Times New Roman" w:cs="Times New Roman"/>
              </w:rPr>
              <w:t>, Polirom, Iași, 2006.</w:t>
            </w:r>
          </w:p>
        </w:tc>
      </w:tr>
      <w:tr w:rsidR="00CF5297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Feature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CF5297" w:rsidRDefault="00CF5297" w:rsidP="00CF5297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Pr="00273B16" w:rsidRDefault="00CF5297" w:rsidP="00CF5297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CF5297" w:rsidRPr="00273B16" w:rsidRDefault="00CF5297" w:rsidP="00CF52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 w:cs="Times New Roman"/>
              </w:rPr>
              <w:t>naliză studii de caz.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297" w:rsidRDefault="00CF5297" w:rsidP="00CF529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2h</w:t>
            </w:r>
          </w:p>
          <w:p w:rsidR="00CF5297" w:rsidRDefault="00CF5297" w:rsidP="00CF529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CF5297" w:rsidRDefault="00CF5297" w:rsidP="00CF529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</w:t>
            </w:r>
          </w:p>
          <w:p w:rsidR="00CF5297" w:rsidRPr="00942D9C" w:rsidRDefault="00CF5297" w:rsidP="00CF529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CF5297" w:rsidRDefault="00CF5297" w:rsidP="00CF529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CF5297" w:rsidRDefault="00CF5297" w:rsidP="00CF529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Preda, Sorin, </w:t>
            </w:r>
            <w:r w:rsidRPr="00D25823">
              <w:rPr>
                <w:rFonts w:ascii="Times New Roman" w:hAnsi="Times New Roman" w:cs="Times New Roman"/>
                <w:i/>
              </w:rPr>
              <w:t>Jurnalismul cultural și de opinie</w:t>
            </w:r>
            <w:r>
              <w:rPr>
                <w:rFonts w:ascii="Times New Roman" w:hAnsi="Times New Roman" w:cs="Times New Roman"/>
              </w:rPr>
              <w:t>, Polirom, Iași, 2006.</w:t>
            </w:r>
          </w:p>
        </w:tc>
      </w:tr>
      <w:tr w:rsidR="00D25823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CF5297" w:rsidP="00942D9C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582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Reportajul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Pr="00273B16" w:rsidRDefault="00D25823" w:rsidP="00877777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D25823" w:rsidRPr="006A420D" w:rsidRDefault="00D25823" w:rsidP="00877777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 w:cs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2h</w:t>
            </w:r>
          </w:p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</w:t>
            </w:r>
          </w:p>
          <w:p w:rsidR="00D25823" w:rsidRPr="00942D9C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D25823" w:rsidRPr="006A420D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Preda, Sorin, </w:t>
            </w:r>
            <w:r w:rsidRPr="00D25823">
              <w:rPr>
                <w:rFonts w:ascii="Times New Roman" w:hAnsi="Times New Roman" w:cs="Times New Roman"/>
                <w:i/>
              </w:rPr>
              <w:t>Jurnalismul cultural și de opinie</w:t>
            </w:r>
            <w:r>
              <w:rPr>
                <w:rFonts w:ascii="Times New Roman" w:hAnsi="Times New Roman" w:cs="Times New Roman"/>
              </w:rPr>
              <w:t>, Polirom, Iași, 2006.</w:t>
            </w:r>
          </w:p>
        </w:tc>
      </w:tr>
      <w:tr w:rsidR="00D25823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CF5297" w:rsidP="00942D9C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582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Tipologia reportajului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Pr="00273B16" w:rsidRDefault="00D25823" w:rsidP="00877777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D25823" w:rsidRPr="006A420D" w:rsidRDefault="00D25823" w:rsidP="00877777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 w:cs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2h</w:t>
            </w:r>
          </w:p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</w:t>
            </w:r>
          </w:p>
          <w:p w:rsidR="00D25823" w:rsidRPr="00942D9C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D25823" w:rsidRPr="006A420D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Preda, Sorin, </w:t>
            </w:r>
            <w:r w:rsidRPr="00D25823">
              <w:rPr>
                <w:rFonts w:ascii="Times New Roman" w:hAnsi="Times New Roman" w:cs="Times New Roman"/>
                <w:i/>
              </w:rPr>
              <w:t>Jurnalismul cultural și de opinie</w:t>
            </w:r>
            <w:r>
              <w:rPr>
                <w:rFonts w:ascii="Times New Roman" w:hAnsi="Times New Roman" w:cs="Times New Roman"/>
              </w:rPr>
              <w:t>, Polirom, Iași, 2006.</w:t>
            </w:r>
          </w:p>
        </w:tc>
      </w:tr>
      <w:tr w:rsidR="00D25823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CF5297" w:rsidP="00CF5297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Ancheta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Pr="00273B16" w:rsidRDefault="00D25823" w:rsidP="00877777">
            <w:pPr>
              <w:rPr>
                <w:rFonts w:ascii="Times New Roman" w:hAnsi="Times New Roman" w:cs="Times New Roman"/>
              </w:rPr>
            </w:pPr>
            <w:r w:rsidRPr="00273B16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D25823" w:rsidRPr="006A420D" w:rsidRDefault="00D25823" w:rsidP="00877777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A</w:t>
            </w:r>
            <w:r w:rsidRPr="00273B16">
              <w:rPr>
                <w:rFonts w:ascii="Times New Roman" w:eastAsia="Times New Roman" w:hAnsi="Times New Roman" w:cs="Times New Roman"/>
              </w:rPr>
              <w:t xml:space="preserve">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2h</w:t>
            </w:r>
          </w:p>
          <w:p w:rsidR="00D25823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Pr="006A420D">
              <w:rPr>
                <w:rFonts w:ascii="Times New Roman" w:eastAsia="Times New Roman" w:hAnsi="Times New Roman" w:cs="Times New Roman"/>
              </w:rPr>
              <w:t>e-a lu</w:t>
            </w:r>
            <w:r>
              <w:rPr>
                <w:rFonts w:ascii="Times New Roman" w:eastAsia="Times New Roman" w:hAnsi="Times New Roman" w:cs="Times New Roman"/>
              </w:rPr>
              <w:t>ngul activității studenții vor fi</w:t>
            </w:r>
            <w:r w:rsidRPr="006A420D">
              <w:rPr>
                <w:rFonts w:ascii="Times New Roman" w:eastAsia="Times New Roman" w:hAnsi="Times New Roman" w:cs="Times New Roman"/>
              </w:rPr>
              <w:t xml:space="preserve"> implicați prin solicitarea de răspunsuri la întrebări referitoare la cunoștințe anterioare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Popescu, Cristian Florin, </w:t>
            </w:r>
            <w:r w:rsidRPr="006A420D">
              <w:rPr>
                <w:rFonts w:ascii="Times New Roman" w:hAnsi="Times New Roman" w:cs="Times New Roman"/>
                <w:i/>
              </w:rPr>
              <w:t>Manual de jurnalism</w:t>
            </w:r>
            <w:r w:rsidRPr="006A420D">
              <w:rPr>
                <w:rFonts w:ascii="Times New Roman" w:hAnsi="Times New Roman" w:cs="Times New Roman"/>
              </w:rPr>
              <w:t>, vol. I şi vol. II, Ed. Tritonic, Bucureşti, 2003</w:t>
            </w:r>
          </w:p>
          <w:p w:rsidR="00D25823" w:rsidRPr="00942D9C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Coman, Mihai, (coord.), </w:t>
            </w:r>
            <w:r w:rsidRPr="00942D9C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942D9C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D25823" w:rsidRDefault="00D25823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942D9C">
              <w:rPr>
                <w:rFonts w:ascii="Times New Roman" w:hAnsi="Times New Roman" w:cs="Times New Roman"/>
              </w:rPr>
              <w:t xml:space="preserve">Ruşti, Doina, </w:t>
            </w:r>
            <w:r w:rsidRPr="00942D9C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942D9C">
              <w:rPr>
                <w:rFonts w:ascii="Times New Roman" w:hAnsi="Times New Roman" w:cs="Times New Roman"/>
              </w:rPr>
              <w:t>Ed. Fundaţia Pro, Bucureşti, 2002.</w:t>
            </w:r>
          </w:p>
          <w:p w:rsidR="00D25823" w:rsidRPr="006A420D" w:rsidRDefault="00D25823" w:rsidP="00877777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Preda, Sorin, </w:t>
            </w:r>
            <w:r w:rsidRPr="00D25823">
              <w:rPr>
                <w:rFonts w:ascii="Times New Roman" w:hAnsi="Times New Roman" w:cs="Times New Roman"/>
                <w:i/>
              </w:rPr>
              <w:t>Jurnalismul cultural și de opinie</w:t>
            </w:r>
            <w:r>
              <w:rPr>
                <w:rFonts w:ascii="Times New Roman" w:hAnsi="Times New Roman" w:cs="Times New Roman"/>
              </w:rPr>
              <w:t>, Polirom, Iași, 2006.</w:t>
            </w:r>
          </w:p>
        </w:tc>
      </w:tr>
      <w:tr w:rsidR="00744D4D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478" w:rsidRDefault="00744D4D" w:rsidP="00CF5297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744D4D">
              <w:rPr>
                <w:sz w:val="22"/>
                <w:szCs w:val="22"/>
              </w:rPr>
              <w:t>Redactarea materialelor de presă</w:t>
            </w:r>
            <w:r w:rsidR="009C3BFB">
              <w:rPr>
                <w:sz w:val="22"/>
                <w:szCs w:val="22"/>
              </w:rPr>
              <w:t xml:space="preserve"> 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9C3BFB" w:rsidRDefault="009C3BFB" w:rsidP="009C3BF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171478" w:rsidRDefault="009C3BFB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744D4D" w:rsidRDefault="009C3BFB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  <w:p w:rsidR="009C3BFB" w:rsidRPr="00744D4D" w:rsidRDefault="009C3BFB" w:rsidP="009C3BFB">
            <w:pPr>
              <w:pStyle w:val="textnormal"/>
              <w:widowControl/>
              <w:ind w:left="355" w:firstLine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D4D" w:rsidRPr="00744D4D" w:rsidRDefault="00744D4D" w:rsidP="00877777">
            <w:pPr>
              <w:rPr>
                <w:rFonts w:ascii="Times New Roman" w:hAnsi="Times New Roman" w:cs="Times New Roman"/>
              </w:rPr>
            </w:pPr>
            <w:r w:rsidRPr="00744D4D">
              <w:rPr>
                <w:rFonts w:ascii="Times New Roman" w:eastAsia="Times New Roman" w:hAnsi="Times New Roman" w:cs="Times New Roman"/>
              </w:rPr>
              <w:t xml:space="preserve">Dezbatere interactivă şi aplicații activparticipative. </w:t>
            </w:r>
          </w:p>
          <w:p w:rsidR="00744D4D" w:rsidRPr="00744D4D" w:rsidRDefault="00744D4D" w:rsidP="00877777">
            <w:pPr>
              <w:ind w:right="98"/>
              <w:rPr>
                <w:rFonts w:ascii="Times New Roman" w:eastAsia="Times New Roman" w:hAnsi="Times New Roman" w:cs="Times New Roman"/>
              </w:rPr>
            </w:pPr>
            <w:r w:rsidRPr="00744D4D">
              <w:rPr>
                <w:rFonts w:ascii="Times New Roman" w:eastAsia="Times New Roman" w:hAnsi="Times New Roman" w:cs="Times New Roman"/>
              </w:rPr>
              <w:t xml:space="preserve">Analiză studii de caz.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77" w:rsidRDefault="00877777" w:rsidP="00744D4D">
            <w:pPr>
              <w:ind w:left="38" w:right="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4h</w:t>
            </w:r>
          </w:p>
          <w:p w:rsidR="00744D4D" w:rsidRPr="00744D4D" w:rsidRDefault="00744D4D" w:rsidP="00744D4D">
            <w:pPr>
              <w:ind w:left="38" w:right="37"/>
              <w:rPr>
                <w:rFonts w:ascii="Times New Roman" w:hAnsi="Times New Roman" w:cs="Times New Roman"/>
              </w:rPr>
            </w:pPr>
            <w:r w:rsidRPr="00744D4D">
              <w:rPr>
                <w:rFonts w:ascii="Times New Roman" w:hAnsi="Times New Roman" w:cs="Times New Roman"/>
              </w:rPr>
              <w:t xml:space="preserve">Coman, Mihai, (coord.), </w:t>
            </w:r>
            <w:r w:rsidRPr="00744D4D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744D4D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744D4D" w:rsidRDefault="00744D4D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744D4D">
              <w:rPr>
                <w:rFonts w:ascii="Times New Roman" w:hAnsi="Times New Roman" w:cs="Times New Roman"/>
              </w:rPr>
              <w:t xml:space="preserve">Roşca, Luminiţa, </w:t>
            </w:r>
            <w:r w:rsidRPr="00744D4D">
              <w:rPr>
                <w:rFonts w:ascii="Times New Roman" w:hAnsi="Times New Roman" w:cs="Times New Roman"/>
                <w:i/>
              </w:rPr>
              <w:t xml:space="preserve">Producţia textului jurnalistic, </w:t>
            </w:r>
            <w:r w:rsidRPr="00744D4D">
              <w:rPr>
                <w:rFonts w:ascii="Times New Roman" w:hAnsi="Times New Roman" w:cs="Times New Roman"/>
              </w:rPr>
              <w:t>Editura Polirom, Iaşi, 2004.</w:t>
            </w:r>
          </w:p>
          <w:p w:rsidR="00877777" w:rsidRPr="006A420D" w:rsidRDefault="00877777" w:rsidP="00877777">
            <w:pPr>
              <w:ind w:left="38" w:right="37"/>
              <w:rPr>
                <w:rFonts w:ascii="Times New Roman" w:hAnsi="Times New Roman" w:cs="Times New Roman"/>
              </w:rPr>
            </w:pPr>
            <w:r w:rsidRPr="006A420D">
              <w:rPr>
                <w:rFonts w:ascii="Times New Roman" w:hAnsi="Times New Roman" w:cs="Times New Roman"/>
              </w:rPr>
              <w:t xml:space="preserve">Preda, Sorin, </w:t>
            </w:r>
            <w:r w:rsidRPr="006A420D">
              <w:rPr>
                <w:rFonts w:ascii="Times New Roman" w:hAnsi="Times New Roman" w:cs="Times New Roman"/>
                <w:i/>
              </w:rPr>
              <w:t>Tehnici de redactare în presa scrisă</w:t>
            </w:r>
            <w:r w:rsidRPr="006A420D">
              <w:rPr>
                <w:rFonts w:ascii="Times New Roman" w:hAnsi="Times New Roman" w:cs="Times New Roman"/>
              </w:rPr>
              <w:t>, Ed. Polirom, Iaşi, 2006.</w:t>
            </w:r>
          </w:p>
          <w:p w:rsidR="00877777" w:rsidRPr="00744D4D" w:rsidRDefault="00877777" w:rsidP="00877777">
            <w:pPr>
              <w:ind w:right="37"/>
              <w:rPr>
                <w:rFonts w:ascii="Times New Roman" w:eastAsia="Times New Roman" w:hAnsi="Times New Roman" w:cs="Times New Roman"/>
              </w:rPr>
            </w:pPr>
          </w:p>
        </w:tc>
      </w:tr>
      <w:tr w:rsidR="00877777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77" w:rsidRPr="009C3BFB" w:rsidRDefault="00877777" w:rsidP="00CF5297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77777">
              <w:rPr>
                <w:sz w:val="22"/>
                <w:szCs w:val="22"/>
                <w:lang w:val="fr-FR"/>
              </w:rPr>
              <w:t>Internship în instituţii de presă</w:t>
            </w:r>
          </w:p>
          <w:p w:rsidR="009C3BFB" w:rsidRDefault="009C3BFB" w:rsidP="009C3BFB">
            <w:pPr>
              <w:pStyle w:val="textnormal"/>
              <w:widowControl/>
              <w:ind w:left="715" w:firstLine="0"/>
              <w:rPr>
                <w:sz w:val="22"/>
                <w:szCs w:val="22"/>
                <w:lang w:val="fr-FR"/>
              </w:rPr>
            </w:pPr>
          </w:p>
          <w:p w:rsidR="00171478" w:rsidRDefault="00171478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c.1</w:t>
            </w:r>
          </w:p>
          <w:p w:rsidR="00171478" w:rsidRDefault="00171478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 1</w:t>
            </w:r>
          </w:p>
          <w:p w:rsidR="00171478" w:rsidRDefault="00171478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ab.2</w:t>
            </w:r>
          </w:p>
          <w:p w:rsidR="00171478" w:rsidRDefault="00171478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at.1</w:t>
            </w:r>
          </w:p>
          <w:p w:rsidR="00171478" w:rsidRDefault="00171478" w:rsidP="00171478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at.2</w:t>
            </w:r>
          </w:p>
          <w:p w:rsidR="009C3BFB" w:rsidRPr="00877777" w:rsidRDefault="009C3BFB" w:rsidP="009C3BF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77" w:rsidRPr="00744D4D" w:rsidRDefault="001A74E0" w:rsidP="00877777">
            <w:pPr>
              <w:rPr>
                <w:rFonts w:ascii="Times New Roman" w:eastAsia="Times New Roman" w:hAnsi="Times New Roman" w:cs="Times New Roman"/>
              </w:rPr>
            </w:pPr>
            <w:r w:rsidRPr="00744D4D">
              <w:rPr>
                <w:rFonts w:ascii="Times New Roman" w:eastAsia="Times New Roman" w:hAnsi="Times New Roman" w:cs="Times New Roman"/>
              </w:rPr>
              <w:t>Dezbatere interactivă şi aplicații activparticipative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77" w:rsidRDefault="00CF5297" w:rsidP="00744D4D">
            <w:pPr>
              <w:ind w:left="38" w:right="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baza contractului de practică tripartit studenții vor efectua stagii de pratică în instituții de presă.</w:t>
            </w:r>
          </w:p>
        </w:tc>
      </w:tr>
    </w:tbl>
    <w:p w:rsidR="00A02638" w:rsidRPr="00DE7FE8" w:rsidRDefault="00A02638">
      <w:pPr>
        <w:spacing w:after="0"/>
        <w:ind w:left="-1133" w:right="77"/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10000"/>
      </w:tblGrid>
      <w:tr w:rsidR="00877777" w:rsidRPr="00BE3D94" w:rsidTr="00877777">
        <w:trPr>
          <w:trHeight w:val="4592"/>
        </w:trPr>
        <w:tc>
          <w:tcPr>
            <w:tcW w:w="10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8" w:rsidRDefault="00877777" w:rsidP="0087777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Bibliografie</w:t>
            </w:r>
            <w:r w:rsidR="004566F8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Coman, Mihai, (coord.), </w:t>
            </w:r>
            <w:r w:rsidRPr="004566F8">
              <w:rPr>
                <w:rFonts w:ascii="Times New Roman" w:hAnsi="Times New Roman" w:cs="Times New Roman"/>
                <w:i/>
              </w:rPr>
              <w:t>Manual de jurnalism – Tehnici fundamentale de redactare</w:t>
            </w:r>
            <w:r w:rsidRPr="004566F8">
              <w:rPr>
                <w:rFonts w:ascii="Times New Roman" w:hAnsi="Times New Roman" w:cs="Times New Roman"/>
              </w:rPr>
              <w:t>, ed. a II-a, vol. I, Ed. Polirom, Iaşi, 2001.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Popescu, Cristian Florin, </w:t>
            </w:r>
            <w:r w:rsidRPr="004566F8">
              <w:rPr>
                <w:rFonts w:ascii="Times New Roman" w:hAnsi="Times New Roman" w:cs="Times New Roman"/>
                <w:i/>
              </w:rPr>
              <w:t>Dicţionar explicativ de jurnalism, relaţii publice şi publicitate</w:t>
            </w:r>
            <w:r w:rsidRPr="004566F8">
              <w:rPr>
                <w:rFonts w:ascii="Times New Roman" w:hAnsi="Times New Roman" w:cs="Times New Roman"/>
              </w:rPr>
              <w:t>, Ed. Tritonic, Bucureşti, 2002.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Popescu, Cristian Florin, </w:t>
            </w:r>
            <w:r w:rsidRPr="004566F8">
              <w:rPr>
                <w:rFonts w:ascii="Times New Roman" w:hAnsi="Times New Roman" w:cs="Times New Roman"/>
                <w:i/>
              </w:rPr>
              <w:t>Manual de jurnalism</w:t>
            </w:r>
            <w:r w:rsidRPr="004566F8">
              <w:rPr>
                <w:rFonts w:ascii="Times New Roman" w:hAnsi="Times New Roman" w:cs="Times New Roman"/>
              </w:rPr>
              <w:t>, vol. I şi vol. II, Ed. Tritonic, Bucureşti, 2003.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Preda, Sorin, </w:t>
            </w:r>
            <w:r w:rsidRPr="004566F8">
              <w:rPr>
                <w:rFonts w:ascii="Times New Roman" w:hAnsi="Times New Roman" w:cs="Times New Roman"/>
                <w:i/>
              </w:rPr>
              <w:t>Tehnici de redactare în presa scrisă</w:t>
            </w:r>
            <w:r w:rsidRPr="004566F8">
              <w:rPr>
                <w:rFonts w:ascii="Times New Roman" w:hAnsi="Times New Roman" w:cs="Times New Roman"/>
              </w:rPr>
              <w:t>, Ed. Polirom, Iaşi, 2006.</w:t>
            </w:r>
          </w:p>
          <w:p w:rsid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Preda, Sorin, </w:t>
            </w:r>
            <w:r w:rsidRPr="004566F8">
              <w:rPr>
                <w:rFonts w:ascii="Times New Roman" w:hAnsi="Times New Roman" w:cs="Times New Roman"/>
                <w:i/>
              </w:rPr>
              <w:t>Jurnalismul cultural și de opinie</w:t>
            </w:r>
            <w:r w:rsidRPr="004566F8">
              <w:rPr>
                <w:rFonts w:ascii="Times New Roman" w:hAnsi="Times New Roman" w:cs="Times New Roman"/>
              </w:rPr>
              <w:t>, Polirom, Iași, 2006.</w:t>
            </w:r>
          </w:p>
          <w:p w:rsidR="00943C68" w:rsidRPr="004566F8" w:rsidRDefault="00943C6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eastAsia="Times New Roman" w:hAnsi="Times New Roman" w:cs="Times New Roman"/>
              </w:rPr>
              <w:t xml:space="preserve">Rad,Ilie, </w:t>
            </w:r>
            <w:r w:rsidRPr="004566F8">
              <w:rPr>
                <w:rFonts w:ascii="Times New Roman" w:hAnsi="Times New Roman" w:cs="Times New Roman"/>
                <w:i/>
              </w:rPr>
              <w:t>Documentarea în jurnalism</w:t>
            </w:r>
            <w:r w:rsidRPr="004566F8">
              <w:rPr>
                <w:rFonts w:ascii="Times New Roman" w:hAnsi="Times New Roman" w:cs="Times New Roman"/>
              </w:rPr>
              <w:t>, Ed. Tritonic, 2011.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Randall, David, </w:t>
            </w:r>
            <w:r w:rsidRPr="004566F8">
              <w:rPr>
                <w:rFonts w:ascii="Times New Roman" w:hAnsi="Times New Roman" w:cs="Times New Roman"/>
                <w:i/>
              </w:rPr>
              <w:t xml:space="preserve">Jurnalistul universal, </w:t>
            </w:r>
            <w:r w:rsidRPr="004566F8">
              <w:rPr>
                <w:rFonts w:ascii="Times New Roman" w:hAnsi="Times New Roman" w:cs="Times New Roman"/>
              </w:rPr>
              <w:t>Ed. Polirom, 2007.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Roşca, Luminiţa, </w:t>
            </w:r>
            <w:r w:rsidRPr="004566F8">
              <w:rPr>
                <w:rFonts w:ascii="Times New Roman" w:hAnsi="Times New Roman" w:cs="Times New Roman"/>
                <w:i/>
              </w:rPr>
              <w:t xml:space="preserve">Producţia textului jurnalistic, </w:t>
            </w:r>
            <w:r w:rsidRPr="004566F8">
              <w:rPr>
                <w:rFonts w:ascii="Times New Roman" w:hAnsi="Times New Roman" w:cs="Times New Roman"/>
              </w:rPr>
              <w:t>Editura Polirom, Iaşi, 2004.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Ruşti, Doina, </w:t>
            </w:r>
            <w:r w:rsidRPr="004566F8">
              <w:rPr>
                <w:rFonts w:ascii="Times New Roman" w:hAnsi="Times New Roman" w:cs="Times New Roman"/>
                <w:i/>
              </w:rPr>
              <w:t xml:space="preserve">Presa culturală, </w:t>
            </w:r>
            <w:r w:rsidRPr="004566F8">
              <w:rPr>
                <w:rFonts w:ascii="Times New Roman" w:hAnsi="Times New Roman" w:cs="Times New Roman"/>
              </w:rPr>
              <w:t>Ed. Fundaţia Pro, Bucureşti, 2002.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  <w:r w:rsidRPr="004566F8">
              <w:rPr>
                <w:rFonts w:ascii="Times New Roman" w:hAnsi="Times New Roman" w:cs="Times New Roman"/>
              </w:rPr>
              <w:t xml:space="preserve">Zafiu, Rodica, </w:t>
            </w:r>
            <w:r w:rsidRPr="004566F8">
              <w:rPr>
                <w:rFonts w:ascii="Times New Roman" w:hAnsi="Times New Roman" w:cs="Times New Roman"/>
                <w:i/>
              </w:rPr>
              <w:t>Diversitate stilistică în româna actuală</w:t>
            </w:r>
            <w:r w:rsidRPr="004566F8">
              <w:rPr>
                <w:rFonts w:ascii="Times New Roman" w:hAnsi="Times New Roman" w:cs="Times New Roman"/>
              </w:rPr>
              <w:t>, Ed. Universităţii din Bucureşti, 2001.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</w:p>
          <w:p w:rsidR="00877777" w:rsidRPr="00BE3D94" w:rsidRDefault="00877777" w:rsidP="004566F8">
            <w:pPr>
              <w:ind w:left="38" w:right="37"/>
              <w:rPr>
                <w:sz w:val="24"/>
                <w:szCs w:val="24"/>
              </w:rPr>
            </w:pPr>
          </w:p>
        </w:tc>
      </w:tr>
    </w:tbl>
    <w:p w:rsidR="00A02638" w:rsidRDefault="00080CF7" w:rsidP="00877777">
      <w:pPr>
        <w:spacing w:after="17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lastRenderedPageBreak/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 xml:space="preserve">Conţinutul </w:t>
            </w:r>
            <w:r w:rsidR="00877777">
              <w:rPr>
                <w:rFonts w:ascii="Times New Roman" w:hAnsi="Times New Roman"/>
                <w:lang w:val="ro-RO"/>
              </w:rPr>
              <w:t>seminarului</w:t>
            </w:r>
            <w:r w:rsidRPr="00E43CC3">
              <w:rPr>
                <w:rFonts w:ascii="Times New Roman" w:hAnsi="Times New Roman"/>
                <w:lang w:val="ro-RO"/>
              </w:rPr>
              <w:t xml:space="preserve">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216"/>
        <w:gridCol w:w="1063"/>
        <w:gridCol w:w="689"/>
        <w:gridCol w:w="585"/>
        <w:gridCol w:w="2063"/>
        <w:gridCol w:w="2177"/>
        <w:gridCol w:w="2189"/>
        <w:gridCol w:w="1220"/>
      </w:tblGrid>
      <w:tr w:rsidR="00A02638" w:rsidTr="00333722">
        <w:trPr>
          <w:trHeight w:val="102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 w:rsidTr="00333722">
        <w:trPr>
          <w:trHeight w:val="658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9AB" w:rsidRDefault="002169AB" w:rsidP="005C3262">
            <w:pPr>
              <w:spacing w:line="236" w:lineRule="auto"/>
              <w:jc w:val="both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15" w:rsidRDefault="00E30515"/>
        </w:tc>
      </w:tr>
      <w:tr w:rsidR="009C3BFB" w:rsidTr="00333722">
        <w:trPr>
          <w:trHeight w:val="115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spacing w:after="12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Oc1 </w:t>
            </w:r>
          </w:p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Oab1 </w:t>
            </w:r>
          </w:p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Oab2 </w:t>
            </w:r>
          </w:p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Oat1 </w:t>
            </w:r>
          </w:p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C3BFB" w:rsidRPr="009C3BFB" w:rsidRDefault="00CF5297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Redactarea unui </w:t>
            </w:r>
            <w:r w:rsidR="001A74E0">
              <w:rPr>
                <w:rFonts w:ascii="Times New Roman" w:hAnsi="Times New Roman" w:cs="Times New Roman"/>
              </w:rPr>
              <w:t xml:space="preserve">reportaj </w:t>
            </w:r>
          </w:p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R</w:t>
            </w:r>
            <w:r w:rsidR="001A74E0">
              <w:rPr>
                <w:rFonts w:ascii="Times New Roman" w:hAnsi="Times New Roman" w:cs="Times New Roman"/>
              </w:rPr>
              <w:t>edactarea a 2 relatări (cu participare la eveniment)</w:t>
            </w:r>
          </w:p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Re</w:t>
            </w:r>
            <w:r w:rsidR="001A74E0">
              <w:rPr>
                <w:rFonts w:ascii="Times New Roman" w:hAnsi="Times New Roman" w:cs="Times New Roman"/>
              </w:rPr>
              <w:t>dactarea unui reportaj pentru online</w:t>
            </w:r>
          </w:p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Documentarea</w:t>
            </w:r>
          </w:p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Sau</w:t>
            </w:r>
          </w:p>
          <w:p w:rsidR="009C3BFB" w:rsidRPr="009C3BFB" w:rsidRDefault="009C3BFB" w:rsidP="007C7DBC">
            <w:pPr>
              <w:spacing w:line="236" w:lineRule="auto"/>
              <w:jc w:val="both"/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Dosar de presă cu materialele realizate la INTERNSHIP ȘI Contractul de pratică tripartit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  <w:r w:rsidRPr="009C3BFB">
              <w:rPr>
                <w:rFonts w:ascii="Times New Roman" w:hAnsi="Times New Roman" w:cs="Times New Roman"/>
              </w:rPr>
              <w:t>100%</w:t>
            </w:r>
          </w:p>
        </w:tc>
      </w:tr>
      <w:tr w:rsidR="009C3BFB" w:rsidTr="00333722">
        <w:trPr>
          <w:trHeight w:val="63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 w:rsidP="0065423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264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1591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Pr="00721D76" w:rsidRDefault="009C3BFB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lastRenderedPageBreak/>
              <w:t xml:space="preserve">Curs: </w:t>
            </w:r>
          </w:p>
          <w:p w:rsidR="009C3BFB" w:rsidRPr="006F1B99" w:rsidRDefault="009C3BFB" w:rsidP="00942FA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Atitudinea corectă şi onestă faţă de evenimentul de presă, faţă de cititori.</w:t>
            </w:r>
          </w:p>
          <w:p w:rsidR="009C3BFB" w:rsidRDefault="009C3BFB" w:rsidP="00942FA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Dezvoltarea responsabilităţii faţă de misi</w:t>
            </w:r>
            <w:r>
              <w:rPr>
                <w:rFonts w:ascii="Times New Roman" w:hAnsi="Times New Roman"/>
                <w:lang w:val="ro-RO"/>
              </w:rPr>
              <w:t>unea jurnalistului şi a mass-mediei</w:t>
            </w:r>
            <w:r w:rsidRPr="006F1B99">
              <w:rPr>
                <w:rFonts w:ascii="Times New Roman" w:hAnsi="Times New Roman"/>
                <w:lang w:val="ro-RO"/>
              </w:rPr>
              <w:t>.</w:t>
            </w:r>
          </w:p>
          <w:p w:rsidR="009C3BFB" w:rsidRPr="00942FA0" w:rsidRDefault="009C3BFB" w:rsidP="00333722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942FA0">
              <w:rPr>
                <w:rFonts w:ascii="Times New Roman" w:eastAsia="Times New Roman" w:hAnsi="Times New Roman"/>
              </w:rPr>
              <w:t xml:space="preserve"> </w:t>
            </w:r>
          </w:p>
          <w:p w:rsidR="009C3BFB" w:rsidRDefault="009C3BFB" w:rsidP="00721D76"/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1222"/>
        </w:trPr>
        <w:tc>
          <w:tcPr>
            <w:tcW w:w="21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C3BFB" w:rsidRDefault="009C3BFB" w:rsidP="00333722">
            <w:pPr>
              <w:ind w:left="-34" w:firstLine="34"/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completării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seminar </w:t>
            </w:r>
          </w:p>
        </w:tc>
      </w:tr>
      <w:tr w:rsidR="009C3BFB" w:rsidTr="00333722">
        <w:trPr>
          <w:trHeight w:val="715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Default="009C3BFB"/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C712CB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>01.10.2017</w:t>
            </w:r>
            <w:r w:rsidR="009C3BF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tabs>
                <w:tab w:val="center" w:pos="384"/>
                <w:tab w:val="center" w:pos="150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3BFB" w:rsidTr="00333722">
        <w:trPr>
          <w:trHeight w:val="718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Default="009C3BFB"/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şefului catedrei/departamentului </w:t>
            </w:r>
          </w:p>
        </w:tc>
      </w:tr>
    </w:tbl>
    <w:p w:rsidR="00A02638" w:rsidRDefault="00A02638" w:rsidP="00FC0933">
      <w:pPr>
        <w:spacing w:after="0"/>
        <w:jc w:val="both"/>
      </w:pP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AB0"/>
    <w:multiLevelType w:val="hybridMultilevel"/>
    <w:tmpl w:val="28E415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7808E7"/>
    <w:multiLevelType w:val="hybridMultilevel"/>
    <w:tmpl w:val="5E484A54"/>
    <w:lvl w:ilvl="0" w:tplc="5A829648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0E61817"/>
    <w:multiLevelType w:val="hybridMultilevel"/>
    <w:tmpl w:val="A03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B8114D0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15640DC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6"/>
  </w:num>
  <w:num w:numId="5">
    <w:abstractNumId w:val="4"/>
  </w:num>
  <w:num w:numId="6">
    <w:abstractNumId w:val="6"/>
  </w:num>
  <w:num w:numId="7">
    <w:abstractNumId w:val="12"/>
  </w:num>
  <w:num w:numId="8">
    <w:abstractNumId w:val="3"/>
  </w:num>
  <w:num w:numId="9">
    <w:abstractNumId w:val="17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10"/>
  </w:num>
  <w:num w:numId="15">
    <w:abstractNumId w:val="0"/>
  </w:num>
  <w:num w:numId="16">
    <w:abstractNumId w:val="15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02638"/>
    <w:rsid w:val="00032505"/>
    <w:rsid w:val="00040388"/>
    <w:rsid w:val="00073B19"/>
    <w:rsid w:val="00080CF7"/>
    <w:rsid w:val="00082996"/>
    <w:rsid w:val="00097C8C"/>
    <w:rsid w:val="000A5DCD"/>
    <w:rsid w:val="00157ECF"/>
    <w:rsid w:val="0017014A"/>
    <w:rsid w:val="00171478"/>
    <w:rsid w:val="0019533A"/>
    <w:rsid w:val="001A74E0"/>
    <w:rsid w:val="001B23D7"/>
    <w:rsid w:val="001B3200"/>
    <w:rsid w:val="001B5319"/>
    <w:rsid w:val="001C0E34"/>
    <w:rsid w:val="002169AB"/>
    <w:rsid w:val="00247719"/>
    <w:rsid w:val="00271655"/>
    <w:rsid w:val="00273B16"/>
    <w:rsid w:val="002E4DEB"/>
    <w:rsid w:val="00310A17"/>
    <w:rsid w:val="00314006"/>
    <w:rsid w:val="00321CA3"/>
    <w:rsid w:val="00333722"/>
    <w:rsid w:val="00365873"/>
    <w:rsid w:val="003A5032"/>
    <w:rsid w:val="003A6360"/>
    <w:rsid w:val="003C42DB"/>
    <w:rsid w:val="003F42E9"/>
    <w:rsid w:val="00441ED5"/>
    <w:rsid w:val="004450EC"/>
    <w:rsid w:val="004566F8"/>
    <w:rsid w:val="004A45B4"/>
    <w:rsid w:val="004F1BA1"/>
    <w:rsid w:val="004F69F5"/>
    <w:rsid w:val="00506856"/>
    <w:rsid w:val="00521EC9"/>
    <w:rsid w:val="00564D5B"/>
    <w:rsid w:val="0059072A"/>
    <w:rsid w:val="005C3262"/>
    <w:rsid w:val="005F0E63"/>
    <w:rsid w:val="00600DE5"/>
    <w:rsid w:val="0062313A"/>
    <w:rsid w:val="00647A2A"/>
    <w:rsid w:val="00654238"/>
    <w:rsid w:val="00672E73"/>
    <w:rsid w:val="006A420D"/>
    <w:rsid w:val="006A765D"/>
    <w:rsid w:val="006B57D1"/>
    <w:rsid w:val="00721D76"/>
    <w:rsid w:val="00740B2F"/>
    <w:rsid w:val="00744D4D"/>
    <w:rsid w:val="00796C84"/>
    <w:rsid w:val="00807C33"/>
    <w:rsid w:val="00831A12"/>
    <w:rsid w:val="008411EB"/>
    <w:rsid w:val="00877777"/>
    <w:rsid w:val="00906D46"/>
    <w:rsid w:val="00942D9C"/>
    <w:rsid w:val="00942FA0"/>
    <w:rsid w:val="00943C68"/>
    <w:rsid w:val="00946067"/>
    <w:rsid w:val="00957373"/>
    <w:rsid w:val="00972B07"/>
    <w:rsid w:val="009875A4"/>
    <w:rsid w:val="0099340B"/>
    <w:rsid w:val="00994E7D"/>
    <w:rsid w:val="009B0F81"/>
    <w:rsid w:val="009B27AB"/>
    <w:rsid w:val="009C0F75"/>
    <w:rsid w:val="009C3BFB"/>
    <w:rsid w:val="00A02638"/>
    <w:rsid w:val="00A079BC"/>
    <w:rsid w:val="00A92D7F"/>
    <w:rsid w:val="00AA6D7E"/>
    <w:rsid w:val="00AC753F"/>
    <w:rsid w:val="00B21C52"/>
    <w:rsid w:val="00BE3D94"/>
    <w:rsid w:val="00BF28DC"/>
    <w:rsid w:val="00C47E0C"/>
    <w:rsid w:val="00C71256"/>
    <w:rsid w:val="00C712CB"/>
    <w:rsid w:val="00C90365"/>
    <w:rsid w:val="00C939EE"/>
    <w:rsid w:val="00CA7509"/>
    <w:rsid w:val="00CC2C61"/>
    <w:rsid w:val="00CE43E6"/>
    <w:rsid w:val="00CE7016"/>
    <w:rsid w:val="00CF5297"/>
    <w:rsid w:val="00D0198F"/>
    <w:rsid w:val="00D03A17"/>
    <w:rsid w:val="00D25823"/>
    <w:rsid w:val="00D9162C"/>
    <w:rsid w:val="00DE7FE8"/>
    <w:rsid w:val="00E07A86"/>
    <w:rsid w:val="00E30515"/>
    <w:rsid w:val="00E3142B"/>
    <w:rsid w:val="00E6200F"/>
    <w:rsid w:val="00E74CB1"/>
    <w:rsid w:val="00EA2C1B"/>
    <w:rsid w:val="00EB4031"/>
    <w:rsid w:val="00F14D71"/>
    <w:rsid w:val="00F85724"/>
    <w:rsid w:val="00FA3D49"/>
    <w:rsid w:val="00FC0933"/>
    <w:rsid w:val="00FF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Ioana</cp:lastModifiedBy>
  <cp:revision>2</cp:revision>
  <dcterms:created xsi:type="dcterms:W3CDTF">2018-02-26T01:23:00Z</dcterms:created>
  <dcterms:modified xsi:type="dcterms:W3CDTF">2018-02-26T01:23:00Z</dcterms:modified>
</cp:coreProperties>
</file>