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Default="004901CE" w:rsidP="004901CE">
      <w:pPr>
        <w:jc w:val="right"/>
        <w:rPr>
          <w:rFonts w:ascii="Times New Roman" w:hAnsi="Times New Roman"/>
          <w:b/>
          <w:lang w:val="ro-RO"/>
        </w:rPr>
      </w:pPr>
      <w:proofErr w:type="spellStart"/>
      <w:proofErr w:type="gramStart"/>
      <w:r>
        <w:rPr>
          <w:rFonts w:ascii="Times New Roman" w:hAnsi="Times New Roman"/>
          <w:b/>
          <w:bCs/>
          <w:sz w:val="28"/>
          <w:szCs w:val="28"/>
        </w:rPr>
        <w:t>Anexa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D5AAE">
        <w:rPr>
          <w:rFonts w:ascii="Times New Roman" w:hAnsi="Times New Roman"/>
          <w:b/>
          <w:bCs/>
          <w:sz w:val="28"/>
          <w:szCs w:val="28"/>
        </w:rPr>
        <w:t>nr.</w:t>
      </w:r>
      <w:proofErr w:type="gramEnd"/>
      <w:r w:rsidR="003D5AAE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Stinte politice, filosofie si stiintele comunicarii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EB0BD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731697">
              <w:rPr>
                <w:rFonts w:ascii="Times New Roman" w:hAnsi="Times New Roman"/>
                <w:lang w:val="ro-RO"/>
              </w:rPr>
              <w:t>olitologie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Stiinte politice, RISE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Licenta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Licenta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5835FE" w:rsidP="005835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Politica Externa si Diplomatie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33161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331618" w:rsidP="00306EB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003521" w:rsidRPr="00307A66" w:rsidTr="00F601C2">
        <w:tc>
          <w:tcPr>
            <w:tcW w:w="4102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  <w:r w:rsidR="00F601C2">
              <w:rPr>
                <w:rFonts w:ascii="Times New Roman" w:hAnsi="Times New Roman"/>
                <w:lang w:val="ro-RO"/>
              </w:rPr>
              <w:t>4 Titular activităţi</w:t>
            </w:r>
            <w:r>
              <w:rPr>
                <w:rFonts w:ascii="Times New Roman" w:hAnsi="Times New Roman"/>
                <w:lang w:val="ro-RO"/>
              </w:rPr>
              <w:t xml:space="preserve"> de laborator</w:t>
            </w:r>
            <w:r w:rsidR="00F601C2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53053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Obl</w:t>
            </w:r>
          </w:p>
        </w:tc>
      </w:tr>
    </w:tbl>
    <w:p w:rsidR="009B66E6" w:rsidRPr="00C83CA2" w:rsidRDefault="009B66E6" w:rsidP="009B66E6">
      <w:pPr>
        <w:pStyle w:val="ListParagraph"/>
        <w:tabs>
          <w:tab w:val="left" w:pos="1719"/>
        </w:tabs>
        <w:ind w:left="0"/>
        <w:jc w:val="both"/>
        <w:rPr>
          <w:i/>
          <w:color w:val="C00000"/>
        </w:rPr>
      </w:pPr>
      <w:r>
        <w:rPr>
          <w:i/>
          <w:color w:val="C00000"/>
        </w:rPr>
        <w:tab/>
      </w:r>
    </w:p>
    <w:p w:rsidR="002462D7" w:rsidRPr="00307A66" w:rsidRDefault="002462D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993"/>
        <w:gridCol w:w="474"/>
        <w:gridCol w:w="1260"/>
        <w:gridCol w:w="534"/>
        <w:gridCol w:w="1417"/>
        <w:gridCol w:w="567"/>
      </w:tblGrid>
      <w:tr w:rsidR="00C14C76" w:rsidRPr="00307A66" w:rsidTr="00530531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48470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474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260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534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530531">
        <w:tc>
          <w:tcPr>
            <w:tcW w:w="3652" w:type="dxa"/>
            <w:shd w:val="clear" w:color="auto" w:fill="auto"/>
          </w:tcPr>
          <w:p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2. Numar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48470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74" w:type="dxa"/>
            <w:shd w:val="clear" w:color="auto" w:fill="auto"/>
          </w:tcPr>
          <w:p w:rsidR="00C14C76" w:rsidRPr="00562868" w:rsidRDefault="0048470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</w:p>
        </w:tc>
        <w:tc>
          <w:tcPr>
            <w:tcW w:w="1260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534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A1318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A1318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47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F7FFC" w:rsidRPr="006F7FFC" w:rsidRDefault="006F7FFC" w:rsidP="006F7FFC">
      <w:pPr>
        <w:pStyle w:val="ListParagraph"/>
        <w:ind w:left="0"/>
        <w:rPr>
          <w:i/>
          <w:color w:val="C00000"/>
        </w:rPr>
      </w:pPr>
    </w:p>
    <w:p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530531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Participare activa</w:t>
            </w:r>
            <w:r w:rsidR="00FC00D0">
              <w:rPr>
                <w:rFonts w:ascii="Times New Roman" w:hAnsi="Times New Roman"/>
                <w:lang w:val="ro-RO"/>
              </w:rPr>
              <w:t xml:space="preserve"> la clasa, parcur</w:t>
            </w:r>
            <w:r>
              <w:rPr>
                <w:rFonts w:ascii="Times New Roman" w:hAnsi="Times New Roman"/>
                <w:lang w:val="ro-RO"/>
              </w:rPr>
              <w:t>gerea bibliografiei saptamanale</w:t>
            </w:r>
          </w:p>
        </w:tc>
      </w:tr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9F19C7" w:rsidRDefault="007F1547" w:rsidP="00CF3BB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in profunzime a </w:t>
            </w:r>
            <w:r w:rsidR="00A1318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modului de constructie si implementare a politicii externe in statele deomocratice, cu accent special pe Romania si UE; </w:t>
            </w:r>
          </w:p>
          <w:p w:rsidR="00A13186" w:rsidRDefault="00EB02AD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Capacitatea de a an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liza</w:t>
            </w:r>
            <w:r w:rsidR="00A1318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critic coerenț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procesului de constructie si implementare a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politicii externe a unui stat 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in cadrul dat de globalizare;</w:t>
            </w:r>
          </w:p>
          <w:p w:rsidR="00EB02AD" w:rsidRDefault="00EB02AD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Cunoasterea aprofundata a sistemului diplmatic roman si al UE (institutii, mecanisme, actori principali)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;</w:t>
            </w:r>
          </w:p>
          <w:p w:rsidR="00573A1B" w:rsidRDefault="00573A1B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Intelegerea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si evaluarea 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diplomaţiei clasice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si a tendintelor actuale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: diplomaţia publică, diplomaţia preventivă, diplomaţia mediului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 diplomatia economica;</w:t>
            </w:r>
          </w:p>
          <w:p w:rsidR="00EB02AD" w:rsidRDefault="00EB02AD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celor doua conventii: 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Convenţia de la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Viena pt. relaţii diplomatice si 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Conventia de la Viena pentru relatii consulare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;</w:t>
            </w:r>
          </w:p>
          <w:p w:rsidR="00EB02AD" w:rsidRDefault="00573A1B" w:rsidP="00573A1B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Cunoasterea / intelegerea diferentelor dintre d</w:t>
            </w:r>
            <w:r w:rsidR="00EB02AD"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iplomaţia bilaterală şi diplomaţia multilaterală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;</w:t>
            </w:r>
          </w:p>
          <w:p w:rsidR="00573A1B" w:rsidRPr="00573A1B" w:rsidRDefault="00573A1B" w:rsidP="00573A1B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Dobandirea de notiuni de diplomatie culturală. Cunoasterea r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ețele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lor de diplomație culturala, analiza critica a 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ICR.</w:t>
            </w:r>
          </w:p>
        </w:tc>
      </w:tr>
      <w:tr w:rsidR="009F19C7" w:rsidRPr="00307A66" w:rsidTr="00DB372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9F19C7" w:rsidRPr="00562868" w:rsidRDefault="00530531" w:rsidP="00FC00D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Cursul urmareste sa capaciteze studentii sa i</w:t>
            </w:r>
            <w:r w:rsidR="00170EB3">
              <w:rPr>
                <w:rFonts w:ascii="Times New Roman" w:hAnsi="Times New Roman"/>
                <w:lang w:val="ro-RO"/>
              </w:rPr>
              <w:t>nteleaga si sa analizeze critic locul pe care il ocupa politica externa in cadrul guvernarii</w:t>
            </w:r>
            <w:r w:rsidR="00FC00D0">
              <w:rPr>
                <w:rFonts w:ascii="Times New Roman" w:hAnsi="Times New Roman"/>
                <w:lang w:val="ro-RO"/>
              </w:rPr>
              <w:t xml:space="preserve"> la nivel statal (Romania), </w:t>
            </w:r>
            <w:r w:rsidR="00170EB3">
              <w:rPr>
                <w:rFonts w:ascii="Times New Roman" w:hAnsi="Times New Roman"/>
                <w:lang w:val="ro-RO"/>
              </w:rPr>
              <w:t>regional (UE)</w:t>
            </w:r>
            <w:r w:rsidR="00FC00D0">
              <w:rPr>
                <w:rFonts w:ascii="Times New Roman" w:hAnsi="Times New Roman"/>
                <w:lang w:val="ro-RO"/>
              </w:rPr>
              <w:t xml:space="preserve"> dar si la nivel multilateral</w:t>
            </w:r>
            <w:r w:rsidR="00170EB3">
              <w:rPr>
                <w:rFonts w:ascii="Times New Roman" w:hAnsi="Times New Roman"/>
                <w:lang w:val="ro-RO"/>
              </w:rPr>
              <w:t xml:space="preserve">. Aceasta implica intelegerea constructiei si a implementarii acesteia, in cadrul larg constitutional si politic. Se </w:t>
            </w:r>
            <w:r w:rsidR="00FC00D0">
              <w:rPr>
                <w:rFonts w:ascii="Times New Roman" w:hAnsi="Times New Roman"/>
                <w:lang w:val="ro-RO"/>
              </w:rPr>
              <w:t>urmareste deasemenea</w:t>
            </w:r>
            <w:r w:rsidR="00170EB3">
              <w:rPr>
                <w:rFonts w:ascii="Times New Roman" w:hAnsi="Times New Roman"/>
                <w:lang w:val="ro-RO"/>
              </w:rPr>
              <w:t xml:space="preserve"> localizarea corecta a diplomatiei in cadrul larg al guvernarii.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530531">
            <w:pPr>
              <w:pStyle w:val="NoSpacing"/>
              <w:numPr>
                <w:ilvl w:val="1"/>
                <w:numId w:val="10"/>
              </w:numPr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530531" w:rsidRDefault="00530531" w:rsidP="00530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53053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De a oferi studenţilor instrumentarul academic si practic necesar pentru </w:t>
            </w:r>
          </w:p>
          <w:p w:rsidR="00530531" w:rsidRPr="00530531" w:rsidRDefault="00530531" w:rsidP="0053053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53053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înţelege şi a analiza critic </w:t>
            </w:r>
            <w:r w:rsidR="00170EB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procesele de constructie si implemenatare a po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liticii externe la nivel statal si </w:t>
            </w:r>
            <w:r w:rsidR="00170EB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regional</w:t>
            </w:r>
            <w:r w:rsid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(</w:t>
            </w:r>
            <w:r w:rsid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UE</w:t>
            </w:r>
            <w:r w:rsidR="00FC00D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) </w:t>
            </w:r>
          </w:p>
          <w:p w:rsidR="009F19C7" w:rsidRDefault="00170EB3" w:rsidP="00170EB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 intelege si analiza critic mecanismele, insitutiile, activitatile si actiunile diplomatice ale unui stat democr</w:t>
            </w:r>
            <w:r w:rsidR="002700A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atic si a aliantelor regionale gen UE.</w:t>
            </w:r>
          </w:p>
          <w:p w:rsidR="00E53604" w:rsidRPr="00530531" w:rsidRDefault="00E53604" w:rsidP="00E53604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cunoaste si analiza locul politicii externe si al diplomatiei in cadrul globalizarii </w:t>
            </w:r>
          </w:p>
        </w:tc>
      </w:tr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1. Prezentarea si evaluarea politicii externe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în interiorul politicilor publice. Constructi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e, actori si implementare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2. Prezentarea principalelor conventii care reglementeaza relatiile diplomatice si consulare (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Convenţia de la Viena pt. relaţii diplomatice/ Conventia de la Viena pentru relatii consulare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)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. Origini, i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mplementare, cazuistica. </w:t>
            </w:r>
          </w:p>
          <w:p w:rsid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3. Analiza s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tructuri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lor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şi relaţii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lor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diplomatice tradiţionale.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Ministerul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ui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Afacerilor Externe din România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4. Studiul misiunilor diplomatice şi ale reţelei consulare a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Romania si UE. Rol, actori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, functionare, cazuistica 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5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Prezentare</w:t>
            </w:r>
            <w:r w:rsidR="00795DF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 si cunoasterea notiunilor de d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iplomaţie bilaterală şi diplomaţie multilaterală </w:t>
            </w:r>
          </w:p>
          <w:p w:rsidR="00E53604" w:rsidRPr="00E53604" w:rsidRDefault="00795DFC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7. Identificarea si cunoasterea tendintelor de modificare a</w:t>
            </w:r>
            <w:r w:rsidR="00E53604"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diplomaţiei clasice; diplomaţia publică, diplomaţia prevent</w:t>
            </w:r>
            <w:r w:rsidR="006D121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ivă, diplomaţia mediului, diplomatia economica, </w:t>
            </w:r>
            <w:bookmarkStart w:id="0" w:name="_GoBack"/>
            <w:bookmarkEnd w:id="0"/>
            <w:r w:rsidR="006D121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etc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8. Diplomatie, politica externa si globalizare. Rolul ONG-urilor, rolul multination</w:t>
            </w:r>
            <w:r w:rsidR="00795DF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alelor, rolul religiei.  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9. Politica externa, diplomatie si sisteme de securitate. Di</w:t>
            </w:r>
            <w:r w:rsidR="00795DF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plomatie si intelligence  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10. Cultură şi politică externă. Diplomaţia culturală. O</w:t>
            </w:r>
            <w:r w:rsidR="00795DF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rigini, tendinte, actori. 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11. Rețele de diplomație culturala. </w:t>
            </w:r>
            <w:r w:rsidR="00795DF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Institutul Cultural Roman </w:t>
            </w:r>
          </w:p>
          <w:p w:rsidR="009F19C7" w:rsidRPr="00530531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12. Analiza politicii externe. Influenţa media</w:t>
            </w:r>
            <w:r w:rsidR="00795DF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asupra politicii externe 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CF3BBD" w:rsidRDefault="00DC733D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Conţinut</w:t>
      </w:r>
    </w:p>
    <w:p w:rsidR="00DC733D" w:rsidRDefault="00DC733D" w:rsidP="00DC733D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sz w:val="20"/>
          <w:szCs w:val="20"/>
          <w:lang w:val="ro-RO" w:eastAsia="ro-RO"/>
        </w:rPr>
      </w:pPr>
    </w:p>
    <w:p w:rsidR="00DC733D" w:rsidRDefault="00DC733D" w:rsidP="0032295D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1. Introducere</w:t>
      </w:r>
      <w:r w:rsidR="006644C2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Probelmatica, prezentarea ofertei academice si a asteptarilor 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(1 ora)</w:t>
      </w:r>
    </w:p>
    <w:p w:rsidR="00DC733D" w:rsidRPr="00DC733D" w:rsidRDefault="00DC733D" w:rsidP="00CD68B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2. 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Politica externă în interiorul politicilor publice. 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Constructie, actori si implementare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(1 ora)</w:t>
      </w:r>
    </w:p>
    <w:p w:rsidR="00DC733D" w:rsidRPr="00DC733D" w:rsidRDefault="00DC733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3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.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Convenţia de la Viena pt. relaţii diplomatice/ Conventia de la Viena pentru relatii consular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e</w:t>
      </w:r>
      <w:r w:rsidR="0032295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</w:t>
      </w:r>
      <w:r w:rsidR="006644C2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32295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Origini, implementare, cazuistica</w:t>
      </w:r>
      <w:r w:rsidR="006644C2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. (2 ore)</w:t>
      </w:r>
    </w:p>
    <w:p w:rsidR="00DC733D" w:rsidRPr="00DC733D" w:rsidRDefault="00DC733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4. </w:t>
      </w:r>
      <w:r w:rsidR="00E53604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Structuri şi relaţii diplomatice tradiţionale. 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(1 ora)</w:t>
      </w:r>
    </w:p>
    <w:p w:rsidR="00DC733D" w:rsidRPr="00DC733D" w:rsidRDefault="00DC733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5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Ministerul de externe. </w:t>
      </w:r>
      <w:r w:rsidRPr="00A005D4">
        <w:rPr>
          <w:rFonts w:ascii="Times New Roman" w:eastAsia="Times New Roman" w:hAnsi="Times New Roman"/>
          <w:b/>
          <w:i/>
          <w:sz w:val="20"/>
          <w:szCs w:val="20"/>
          <w:lang w:val="ro-RO" w:eastAsia="ro-RO"/>
        </w:rPr>
        <w:t>Ministerul Afacerilor Externe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din România</w:t>
      </w:r>
      <w:r w:rsidR="00E53604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E53604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Misiunea diplomatică şi  reţeaua consulară</w:t>
      </w:r>
      <w:r w:rsidR="00E53604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, cu accent pe Romania si UE</w:t>
      </w:r>
      <w:r w:rsidR="00E53604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.</w:t>
      </w:r>
      <w:r w:rsidR="00E53604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Rol, actori, functionare, cazuistica (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2</w:t>
      </w:r>
      <w:r w:rsidR="0032295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ore)</w:t>
      </w:r>
    </w:p>
    <w:p w:rsidR="00DC733D" w:rsidRPr="00DC733D" w:rsidRDefault="00DC733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6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. Diplomaţia bilaterală şi diplomaţia multilaterală</w:t>
      </w:r>
      <w:r w:rsidR="0032295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 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(1 ora)</w:t>
      </w:r>
    </w:p>
    <w:p w:rsidR="00DC733D" w:rsidRDefault="00DC733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7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. Tr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ansformarea diplomaţiei clasice;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diplomaţia publică, diplomaţia preventivă, diplomaţia mediului</w:t>
      </w:r>
      <w:r w:rsidR="0032295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 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(1 ora)</w:t>
      </w:r>
    </w:p>
    <w:p w:rsidR="00CD68BB" w:rsidRDefault="00DC733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8. Diplomatie, politica externa si globalizare. Rolul ONG</w:t>
      </w:r>
      <w:r w:rsidR="00701C28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-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urilor, rolul multinationalelor</w:t>
      </w:r>
      <w:r w:rsidR="00701C28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, rolul religiei.</w:t>
      </w:r>
      <w:r w:rsidR="0032295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 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(1 ora)</w:t>
      </w:r>
    </w:p>
    <w:p w:rsidR="0032295D" w:rsidRDefault="0032295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9</w:t>
      </w:r>
      <w:r w:rsid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701C28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Politica externa, diplomatie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si </w:t>
      </w:r>
      <w:r w:rsidR="00701C28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sisteme de 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securitate</w:t>
      </w:r>
      <w:r w:rsidR="00701C28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Diplomatie si </w:t>
      </w:r>
      <w:r w:rsidR="00701C28" w:rsidRPr="00701C28">
        <w:rPr>
          <w:rFonts w:ascii="Times New Roman" w:eastAsia="Times New Roman" w:hAnsi="Times New Roman"/>
          <w:b/>
          <w:i/>
          <w:sz w:val="20"/>
          <w:szCs w:val="20"/>
          <w:lang w:val="ro-RO" w:eastAsia="ro-RO"/>
        </w:rPr>
        <w:t>intelligence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 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(1 ora)</w:t>
      </w:r>
    </w:p>
    <w:p w:rsidR="0032295D" w:rsidRDefault="0032295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10. </w:t>
      </w:r>
      <w:r w:rsid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Cultură şi politică externă</w:t>
      </w:r>
      <w:r w:rsidR="00DC733D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Diplomaţia culturală. </w:t>
      </w:r>
      <w:r w:rsidR="00CE565C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Origini, tendinte, actori. 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(1 ora)</w:t>
      </w:r>
    </w:p>
    <w:p w:rsidR="00DC733D" w:rsidRDefault="0032295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11. </w:t>
      </w:r>
      <w:r w:rsidR="00DC733D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Rețele de diplomație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culturala. I</w:t>
      </w:r>
      <w:r w:rsidR="00A005D4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nstitutul 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</w:t>
      </w:r>
      <w:r w:rsidR="00A005D4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ultural 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R</w:t>
      </w:r>
      <w:r w:rsidR="00A005D4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oman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(1 ora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)</w:t>
      </w:r>
    </w:p>
    <w:p w:rsidR="00DC733D" w:rsidRPr="00DC733D" w:rsidRDefault="0032295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12</w:t>
      </w:r>
      <w:r w:rsid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DC733D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Analiza politicii externe. Influenţa </w:t>
      </w:r>
      <w:r w:rsidR="00DC733D" w:rsidRPr="00DC733D">
        <w:rPr>
          <w:rFonts w:ascii="Times New Roman" w:eastAsia="Times New Roman" w:hAnsi="Times New Roman"/>
          <w:b/>
          <w:i/>
          <w:sz w:val="20"/>
          <w:szCs w:val="20"/>
          <w:lang w:val="ro-RO" w:eastAsia="ro-RO"/>
        </w:rPr>
        <w:t>media</w:t>
      </w:r>
      <w:r w:rsidR="00DC733D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asupra politicii externe</w:t>
      </w:r>
      <w:r w:rsidR="00CD68B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(1 ora)</w:t>
      </w:r>
    </w:p>
    <w:p w:rsidR="00DC733D" w:rsidRDefault="00DC733D" w:rsidP="00DC733D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sz w:val="20"/>
          <w:szCs w:val="20"/>
          <w:lang w:val="ro-RO" w:eastAsia="ro-RO"/>
        </w:rPr>
      </w:pPr>
    </w:p>
    <w:p w:rsidR="00D463EE" w:rsidRDefault="00D463EE" w:rsidP="00CF3BBD">
      <w:pPr>
        <w:pStyle w:val="ListParagraph"/>
        <w:spacing w:after="0"/>
        <w:ind w:left="714"/>
        <w:rPr>
          <w:rFonts w:ascii="Times New Roman" w:hAnsi="Times New Roman"/>
          <w:b/>
          <w:lang w:val="ro-RO"/>
        </w:rPr>
      </w:pPr>
    </w:p>
    <w:p w:rsidR="00CF3BBD" w:rsidRPr="00CF3BBD" w:rsidRDefault="00CF3BBD" w:rsidP="00CF3BBD">
      <w:pPr>
        <w:spacing w:after="0"/>
        <w:rPr>
          <w:rFonts w:ascii="Times New Roman" w:hAnsi="Times New Roman"/>
          <w:b/>
          <w:lang w:val="ro-RO"/>
        </w:rPr>
      </w:pPr>
    </w:p>
    <w:p w:rsidR="00CF3BBD" w:rsidRDefault="00CF3BBD" w:rsidP="00CF3BBD">
      <w:pPr>
        <w:pStyle w:val="Heading1"/>
      </w:pPr>
      <w:r>
        <w:t>Bibliografie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Don C. PIPER şi Ronald  J. TERCHEK, </w:t>
      </w:r>
      <w:r w:rsidRPr="00C81297">
        <w:rPr>
          <w:i/>
          <w:lang w:val="ro-RO"/>
        </w:rPr>
        <w:t>Interaction: Foreign Policy and Public Policy</w:t>
      </w:r>
      <w:r w:rsidRPr="00C81297">
        <w:rPr>
          <w:lang w:val="ro-RO"/>
        </w:rPr>
        <w:t>, American Enterprise Institute, Washington DC, 1983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William WALLACE, </w:t>
      </w:r>
      <w:r w:rsidRPr="00C81297">
        <w:rPr>
          <w:i/>
          <w:lang w:val="ro-RO"/>
        </w:rPr>
        <w:t>Foreign Policy and the Political Process</w:t>
      </w:r>
      <w:r w:rsidRPr="00C81297">
        <w:rPr>
          <w:lang w:val="ro-RO"/>
        </w:rPr>
        <w:t>, Macmillan, London, 1971.</w:t>
      </w:r>
    </w:p>
    <w:p w:rsidR="00C81297" w:rsidRDefault="002367BB" w:rsidP="00C81297">
      <w:pPr>
        <w:rPr>
          <w:lang w:val="ro-RO"/>
        </w:rPr>
      </w:pPr>
      <w:hyperlink r:id="rId9" w:history="1">
        <w:r w:rsidR="00C81297" w:rsidRPr="00C81297">
          <w:rPr>
            <w:rStyle w:val="Hyperlink"/>
          </w:rPr>
          <w:t>http://legal.un.org/avl/ha/vcdr/vcdr.html</w:t>
        </w:r>
      </w:hyperlink>
      <w:r w:rsidR="00C81297" w:rsidRPr="00C81297">
        <w:t xml:space="preserve">, </w:t>
      </w:r>
      <w:hyperlink r:id="rId10" w:history="1">
        <w:r w:rsidR="00C81297" w:rsidRPr="00C81297">
          <w:rPr>
            <w:rStyle w:val="Hyperlink"/>
          </w:rPr>
          <w:t>http://legal.un.org/avl/ha/vccr/vccr.html</w:t>
        </w:r>
      </w:hyperlink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Valerie M. HUDSON (ed.), </w:t>
      </w:r>
      <w:r w:rsidRPr="00C81297">
        <w:rPr>
          <w:b/>
          <w:bCs/>
          <w:i/>
          <w:lang w:val="ro-RO"/>
        </w:rPr>
        <w:t>Culture &amp; Foreign Policy</w:t>
      </w:r>
      <w:r w:rsidRPr="00C81297">
        <w:rPr>
          <w:b/>
          <w:bCs/>
          <w:lang w:val="ro-RO"/>
        </w:rPr>
        <w:t xml:space="preserve">, </w:t>
      </w:r>
      <w:r w:rsidRPr="00C81297">
        <w:rPr>
          <w:lang w:val="ro-RO"/>
        </w:rPr>
        <w:t>Lynne Rienner Publishers, London, 1997</w:t>
      </w:r>
    </w:p>
    <w:p w:rsidR="00C81297" w:rsidRDefault="002367BB" w:rsidP="00C81297">
      <w:pPr>
        <w:rPr>
          <w:lang w:val="ro-RO"/>
        </w:rPr>
      </w:pPr>
      <w:hyperlink r:id="rId11" w:history="1">
        <w:r w:rsidR="00C81297" w:rsidRPr="00C81297">
          <w:rPr>
            <w:rStyle w:val="Hyperlink"/>
            <w:lang w:val="ro-RO"/>
          </w:rPr>
          <w:t>www.icr.ro</w:t>
        </w:r>
      </w:hyperlink>
      <w:r w:rsidR="00C81297" w:rsidRPr="00C81297">
        <w:rPr>
          <w:lang w:val="ro-RO"/>
        </w:rPr>
        <w:t xml:space="preserve"> 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P. ROBINSON, </w:t>
      </w:r>
      <w:r w:rsidRPr="00C81297">
        <w:rPr>
          <w:b/>
          <w:bCs/>
          <w:i/>
          <w:lang w:val="ro-RO"/>
        </w:rPr>
        <w:t>The CNN Effect: The Myth of News, Foreign Policy, and Intervention</w:t>
      </w:r>
      <w:r w:rsidRPr="00C81297">
        <w:rPr>
          <w:lang w:val="ro-RO"/>
        </w:rPr>
        <w:t>, Routledge, London, 2002</w:t>
      </w:r>
    </w:p>
    <w:p w:rsidR="00C81297" w:rsidRDefault="002367BB" w:rsidP="00C81297">
      <w:pPr>
        <w:rPr>
          <w:lang w:val="ro-RO"/>
        </w:rPr>
      </w:pPr>
      <w:hyperlink r:id="rId12" w:anchor="sthash.TaRZHQal.G5ZB5IRX.dpbs" w:history="1">
        <w:r w:rsidR="00C81297" w:rsidRPr="00C81297">
          <w:rPr>
            <w:rStyle w:val="Hyperlink"/>
          </w:rPr>
          <w:t>http://www.foreignpolicy.com/articles/2014/01/06/making_the_grade_how_to_judge_foreign_policy#sthash.TaRZHQal.G5ZB5IRX.dpbs</w:t>
        </w:r>
      </w:hyperlink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Shaun RIORDAN, </w:t>
      </w:r>
      <w:r w:rsidRPr="00C81297">
        <w:rPr>
          <w:i/>
          <w:lang w:val="ro-RO"/>
        </w:rPr>
        <w:t>Noua diplomaţie</w:t>
      </w:r>
      <w:r w:rsidRPr="00C81297">
        <w:rPr>
          <w:lang w:val="ro-RO"/>
        </w:rPr>
        <w:t>, Editura Antet XX Press, 2004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R.G. FELTHAM, </w:t>
      </w:r>
      <w:r w:rsidRPr="00C81297">
        <w:rPr>
          <w:i/>
          <w:lang w:val="ro-RO"/>
        </w:rPr>
        <w:t>Ghid de diplomaţie</w:t>
      </w:r>
      <w:r w:rsidRPr="00C81297">
        <w:rPr>
          <w:lang w:val="ro-RO"/>
        </w:rPr>
        <w:t>, Institutul European, Iaşi, 2005</w:t>
      </w:r>
    </w:p>
    <w:p w:rsidR="00C81297" w:rsidRDefault="002367BB" w:rsidP="00C81297">
      <w:pPr>
        <w:rPr>
          <w:lang w:val="ro-RO"/>
        </w:rPr>
      </w:pPr>
      <w:hyperlink r:id="rId13" w:history="1">
        <w:r w:rsidR="00C81297" w:rsidRPr="00C81297">
          <w:rPr>
            <w:rStyle w:val="Hyperlink"/>
            <w:lang w:val="ro-RO"/>
          </w:rPr>
          <w:t>www.mae.ro</w:t>
        </w:r>
      </w:hyperlink>
      <w:r w:rsidR="00C81297" w:rsidRPr="00C81297">
        <w:rPr>
          <w:lang w:val="ro-RO"/>
        </w:rPr>
        <w:t xml:space="preserve"> 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R.G. FELTHAM, </w:t>
      </w:r>
      <w:r w:rsidRPr="00C81297">
        <w:rPr>
          <w:i/>
          <w:lang w:val="ro-RO"/>
        </w:rPr>
        <w:t>Ghid de diplomaţie</w:t>
      </w:r>
      <w:r w:rsidRPr="00C81297">
        <w:rPr>
          <w:lang w:val="ro-RO"/>
        </w:rPr>
        <w:t>, Institutul European, Iaşi, 2005</w:t>
      </w:r>
    </w:p>
    <w:p w:rsidR="00C81297" w:rsidRDefault="002367BB" w:rsidP="00C81297">
      <w:pPr>
        <w:rPr>
          <w:lang w:val="ro-RO"/>
        </w:rPr>
      </w:pPr>
      <w:hyperlink r:id="rId14" w:history="1">
        <w:r w:rsidR="00C81297" w:rsidRPr="00C81297">
          <w:rPr>
            <w:rStyle w:val="Hyperlink"/>
            <w:lang w:val="ro-RO"/>
          </w:rPr>
          <w:t>www.un.org</w:t>
        </w:r>
      </w:hyperlink>
      <w:r w:rsidR="00C81297" w:rsidRPr="00C81297">
        <w:rPr>
          <w:lang w:val="ro-RO"/>
        </w:rPr>
        <w:t xml:space="preserve">, </w:t>
      </w:r>
      <w:hyperlink r:id="rId15" w:history="1">
        <w:r w:rsidR="00C81297" w:rsidRPr="00C81297">
          <w:rPr>
            <w:rStyle w:val="Hyperlink"/>
            <w:lang w:val="ro-RO"/>
          </w:rPr>
          <w:t>www.osce.org</w:t>
        </w:r>
      </w:hyperlink>
      <w:r w:rsidR="00C81297" w:rsidRPr="00C81297">
        <w:rPr>
          <w:lang w:val="ro-RO"/>
        </w:rPr>
        <w:t xml:space="preserve"> 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Shaun RIORDAN, </w:t>
      </w:r>
      <w:r w:rsidRPr="00C81297">
        <w:rPr>
          <w:i/>
          <w:lang w:val="ro-RO"/>
        </w:rPr>
        <w:t>Noua diplomaţie</w:t>
      </w:r>
      <w:r w:rsidRPr="00C81297">
        <w:rPr>
          <w:lang w:val="ro-RO"/>
        </w:rPr>
        <w:t>, Editura Antet XX Press, 2004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Alexander GEORGE, „The Role of Force in Diplomacy: A Continuing Dilemma for US Foreign Policy”, în Chester CROCKER (ed.), </w:t>
      </w:r>
      <w:r w:rsidRPr="00C81297">
        <w:rPr>
          <w:i/>
          <w:lang w:val="ro-RO"/>
        </w:rPr>
        <w:t>Managing Global Chaos</w:t>
      </w:r>
      <w:r w:rsidRPr="00C81297">
        <w:rPr>
          <w:lang w:val="ro-RO"/>
        </w:rPr>
        <w:t>, Institute of Peace Press, Washington DC, 1998, pp. 209-22.</w:t>
      </w:r>
    </w:p>
    <w:p w:rsidR="00C81297" w:rsidRDefault="00C81297" w:rsidP="00C81297">
      <w:pPr>
        <w:rPr>
          <w:lang w:val="ro-RO"/>
        </w:rPr>
      </w:pPr>
      <w:r w:rsidRPr="00C81297">
        <w:rPr>
          <w:lang w:val="ro-RO"/>
        </w:rPr>
        <w:t xml:space="preserve">Michael LUND, „Early Warning and Preventive Diplomacy”, în Chester CROCKER (ed.), </w:t>
      </w:r>
      <w:r w:rsidRPr="00C81297">
        <w:rPr>
          <w:i/>
          <w:lang w:val="ro-RO"/>
        </w:rPr>
        <w:t>Managing Global Chaos</w:t>
      </w:r>
      <w:r w:rsidRPr="00C81297">
        <w:rPr>
          <w:lang w:val="ro-RO"/>
        </w:rPr>
        <w:t>, Institute of Peace Press, Washington DC, 1998, pp.379-402.</w:t>
      </w:r>
    </w:p>
    <w:p w:rsidR="00C81297" w:rsidRPr="00C81297" w:rsidRDefault="00C81297" w:rsidP="00C81297">
      <w:pPr>
        <w:rPr>
          <w:lang w:val="ro-RO"/>
        </w:rPr>
      </w:pPr>
      <w:r w:rsidRPr="00C81297">
        <w:rPr>
          <w:lang w:val="ro-RO"/>
        </w:rPr>
        <w:t>Lee-Anne BROADHEAD,</w:t>
      </w:r>
      <w:r w:rsidRPr="00C81297">
        <w:rPr>
          <w:b/>
          <w:bCs/>
          <w:lang w:val="ro-RO"/>
        </w:rPr>
        <w:t xml:space="preserve"> </w:t>
      </w:r>
      <w:r w:rsidRPr="00C81297">
        <w:rPr>
          <w:b/>
          <w:bCs/>
          <w:i/>
          <w:lang w:val="ro-RO"/>
        </w:rPr>
        <w:t>International Environmental Politics: The Limits of Green Diplomacy</w:t>
      </w:r>
      <w:r w:rsidRPr="00C81297">
        <w:rPr>
          <w:b/>
          <w:bCs/>
          <w:lang w:val="ro-RO"/>
        </w:rPr>
        <w:t xml:space="preserve">, </w:t>
      </w:r>
      <w:r w:rsidRPr="00C81297">
        <w:rPr>
          <w:lang w:val="ro-RO"/>
        </w:rPr>
        <w:t xml:space="preserve"> Boulder CO, 2002, pp. 29-59. (</w:t>
      </w:r>
      <w:r w:rsidRPr="00C81297">
        <w:rPr>
          <w:u w:val="single"/>
          <w:lang w:val="ro-RO"/>
        </w:rPr>
        <w:t>alternativ</w:t>
      </w:r>
      <w:r w:rsidRPr="00C81297">
        <w:rPr>
          <w:lang w:val="ro-RO"/>
        </w:rPr>
        <w:t xml:space="preserve">, Richard E. Benedick, “Diplomacy for the Environment”, în </w:t>
      </w:r>
      <w:r w:rsidRPr="00C81297">
        <w:rPr>
          <w:i/>
          <w:lang w:val="ro-RO"/>
        </w:rPr>
        <w:t>Environmental Diplomacy</w:t>
      </w:r>
      <w:r w:rsidRPr="00C81297">
        <w:rPr>
          <w:lang w:val="ro-RO"/>
        </w:rPr>
        <w:t>, Conference Report, Washington, D.C., noiembrie, 1998, pp. 3-11).</w:t>
      </w: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0"/>
        <w:gridCol w:w="3117"/>
        <w:gridCol w:w="1408"/>
        <w:gridCol w:w="3937"/>
      </w:tblGrid>
      <w:tr w:rsidR="00CF3BBD" w:rsidRPr="00307A66" w:rsidTr="00DB3728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D655BC"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="00D655BC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Abordarea temei cerute, logica argumentarii academice, acoperirea critica a bibliografiei relevante temei cerute, respectarea regulilor de scriere academica, gandire critica, stil. 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Scriere eseu academic, sustienre orala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70%</w:t>
            </w:r>
          </w:p>
        </w:tc>
      </w:tr>
      <w:tr w:rsidR="00CF3BBD" w:rsidRPr="00307A66" w:rsidTr="00DB3728">
        <w:trPr>
          <w:gridAfter w:val="3"/>
          <w:wAfter w:w="8462" w:type="dxa"/>
          <w:trHeight w:val="253"/>
        </w:trPr>
        <w:tc>
          <w:tcPr>
            <w:tcW w:w="0" w:type="auto"/>
            <w:vMerge/>
            <w:shd w:val="clear" w:color="auto" w:fill="auto"/>
          </w:tcPr>
          <w:p w:rsidR="00CF3BBD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9.2</w:t>
            </w:r>
            <w:r w:rsidR="00D655BC"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CF3BBD" w:rsidRPr="00307A66" w:rsidTr="00DB3728">
        <w:tc>
          <w:tcPr>
            <w:tcW w:w="0" w:type="auto"/>
            <w:vMerge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</w:tcPr>
          <w:p w:rsidR="00C14C76" w:rsidRPr="00562868" w:rsidRDefault="00F601C2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9.3</w:t>
            </w:r>
            <w:r w:rsidR="00C14C76">
              <w:rPr>
                <w:rFonts w:ascii="Times New Roman" w:hAnsi="Times New Roman"/>
                <w:lang w:val="ro-RO"/>
              </w:rPr>
              <w:t xml:space="preserve"> Laborator</w:t>
            </w:r>
            <w:r w:rsidR="00577794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72DFE" w:rsidRPr="00307A66" w:rsidTr="00CF3BBD">
        <w:tc>
          <w:tcPr>
            <w:tcW w:w="10222" w:type="dxa"/>
            <w:gridSpan w:val="4"/>
            <w:shd w:val="clear" w:color="auto" w:fill="auto"/>
          </w:tcPr>
          <w:p w:rsidR="00B72DFE" w:rsidRPr="00562868" w:rsidRDefault="00F601C2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</w:t>
            </w:r>
            <w:r w:rsidR="00B72DFE">
              <w:rPr>
                <w:rFonts w:ascii="Times New Roman" w:hAnsi="Times New Roman"/>
                <w:lang w:val="ro-RO"/>
              </w:rPr>
              <w:t xml:space="preserve"> Standard minim de performanţă</w:t>
            </w:r>
            <w:r w:rsidR="00CF3BBD">
              <w:rPr>
                <w:rFonts w:ascii="Times New Roman" w:hAnsi="Times New Roman"/>
                <w:lang w:val="ro-RO"/>
              </w:rPr>
              <w:t>: 5/10</w:t>
            </w:r>
          </w:p>
        </w:tc>
      </w:tr>
      <w:tr w:rsidR="00E7652D" w:rsidRPr="00307A66" w:rsidTr="00CF3BBD">
        <w:tc>
          <w:tcPr>
            <w:tcW w:w="10222" w:type="dxa"/>
            <w:gridSpan w:val="4"/>
            <w:shd w:val="clear" w:color="auto" w:fill="auto"/>
          </w:tcPr>
          <w:p w:rsidR="00E7652D" w:rsidRDefault="00E7652D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F601C2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p w:rsidR="00D463EE" w:rsidRDefault="00D463EE" w:rsidP="00D463EE">
      <w:pPr>
        <w:rPr>
          <w:rFonts w:ascii="Times New Roman" w:hAnsi="Times New Roman"/>
          <w:lang w:val="ro-RO"/>
        </w:rPr>
      </w:pPr>
    </w:p>
    <w:p w:rsidR="00307A66" w:rsidRDefault="00307A66" w:rsidP="00D463EE">
      <w:pPr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C81297">
              <w:rPr>
                <w:rFonts w:ascii="Times New Roman" w:hAnsi="Times New Roman"/>
                <w:lang w:val="ro-RO"/>
              </w:rPr>
              <w:t xml:space="preserve"> 10.09.2013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  <w:r w:rsidR="00CF3BBD">
              <w:rPr>
                <w:rFonts w:ascii="Times New Roman" w:hAnsi="Times New Roman"/>
                <w:lang w:val="ro-RO"/>
              </w:rPr>
              <w:t xml:space="preserve"> Conf dr Silviu Rogobete</w:t>
            </w: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lastRenderedPageBreak/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D463EE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7BB" w:rsidRDefault="002367BB" w:rsidP="00C14C76">
      <w:pPr>
        <w:spacing w:after="0" w:line="240" w:lineRule="auto"/>
      </w:pPr>
      <w:r>
        <w:separator/>
      </w:r>
    </w:p>
  </w:endnote>
  <w:endnote w:type="continuationSeparator" w:id="0">
    <w:p w:rsidR="002367BB" w:rsidRDefault="002367BB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7BB" w:rsidRDefault="002367BB" w:rsidP="00C14C76">
      <w:pPr>
        <w:spacing w:after="0" w:line="240" w:lineRule="auto"/>
      </w:pPr>
      <w:r>
        <w:separator/>
      </w:r>
    </w:p>
  </w:footnote>
  <w:footnote w:type="continuationSeparator" w:id="0">
    <w:p w:rsidR="002367BB" w:rsidRDefault="002367BB" w:rsidP="00C14C76">
      <w:pPr>
        <w:spacing w:after="0" w:line="240" w:lineRule="auto"/>
      </w:pPr>
      <w:r>
        <w:continuationSeparator/>
      </w:r>
    </w:p>
  </w:footnote>
  <w:footnote w:id="1">
    <w:p w:rsidR="00C14C76" w:rsidRPr="00C14C76" w:rsidRDefault="00C14C7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011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DD74D4F"/>
    <w:multiLevelType w:val="multilevel"/>
    <w:tmpl w:val="2728B6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6CB7FB5"/>
    <w:multiLevelType w:val="hybridMultilevel"/>
    <w:tmpl w:val="40A20A7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C7322"/>
    <w:multiLevelType w:val="hybridMultilevel"/>
    <w:tmpl w:val="5E8A6C6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62B13F7"/>
    <w:multiLevelType w:val="hybridMultilevel"/>
    <w:tmpl w:val="3CE2071C"/>
    <w:lvl w:ilvl="0" w:tplc="0418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2">
    <w:nsid w:val="793424E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4"/>
  </w:num>
  <w:num w:numId="11">
    <w:abstractNumId w:val="9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03521"/>
    <w:rsid w:val="00074095"/>
    <w:rsid w:val="000B7024"/>
    <w:rsid w:val="0016492A"/>
    <w:rsid w:val="00170EB3"/>
    <w:rsid w:val="002026A3"/>
    <w:rsid w:val="002367BB"/>
    <w:rsid w:val="002462D7"/>
    <w:rsid w:val="002700A1"/>
    <w:rsid w:val="00306EB4"/>
    <w:rsid w:val="00307A66"/>
    <w:rsid w:val="0032295D"/>
    <w:rsid w:val="00331618"/>
    <w:rsid w:val="003445C6"/>
    <w:rsid w:val="00354B08"/>
    <w:rsid w:val="003954C2"/>
    <w:rsid w:val="003D5AAE"/>
    <w:rsid w:val="00407254"/>
    <w:rsid w:val="0042109F"/>
    <w:rsid w:val="00437B03"/>
    <w:rsid w:val="00484702"/>
    <w:rsid w:val="004901CE"/>
    <w:rsid w:val="004B6B47"/>
    <w:rsid w:val="00530531"/>
    <w:rsid w:val="005341FA"/>
    <w:rsid w:val="00534900"/>
    <w:rsid w:val="00562868"/>
    <w:rsid w:val="00573A1B"/>
    <w:rsid w:val="00577794"/>
    <w:rsid w:val="005835FE"/>
    <w:rsid w:val="005964D9"/>
    <w:rsid w:val="006644C2"/>
    <w:rsid w:val="00683726"/>
    <w:rsid w:val="006D1210"/>
    <w:rsid w:val="006F7FFC"/>
    <w:rsid w:val="00701C28"/>
    <w:rsid w:val="00731697"/>
    <w:rsid w:val="0075423E"/>
    <w:rsid w:val="00795DFC"/>
    <w:rsid w:val="007E1614"/>
    <w:rsid w:val="007F1547"/>
    <w:rsid w:val="008025A7"/>
    <w:rsid w:val="00867045"/>
    <w:rsid w:val="0087655B"/>
    <w:rsid w:val="00882467"/>
    <w:rsid w:val="008D0B24"/>
    <w:rsid w:val="008F4066"/>
    <w:rsid w:val="009B66E6"/>
    <w:rsid w:val="009C687C"/>
    <w:rsid w:val="009F19C7"/>
    <w:rsid w:val="00A005D4"/>
    <w:rsid w:val="00A13186"/>
    <w:rsid w:val="00A47B7B"/>
    <w:rsid w:val="00AE66C6"/>
    <w:rsid w:val="00AF294B"/>
    <w:rsid w:val="00B36103"/>
    <w:rsid w:val="00B72DFE"/>
    <w:rsid w:val="00C14C76"/>
    <w:rsid w:val="00C81297"/>
    <w:rsid w:val="00C83CA2"/>
    <w:rsid w:val="00CD68BB"/>
    <w:rsid w:val="00CE565C"/>
    <w:rsid w:val="00CF3BBD"/>
    <w:rsid w:val="00D463EE"/>
    <w:rsid w:val="00D655BC"/>
    <w:rsid w:val="00D92874"/>
    <w:rsid w:val="00DA3DC1"/>
    <w:rsid w:val="00DB3728"/>
    <w:rsid w:val="00DC733D"/>
    <w:rsid w:val="00E21AEC"/>
    <w:rsid w:val="00E53604"/>
    <w:rsid w:val="00E7652D"/>
    <w:rsid w:val="00EB02AD"/>
    <w:rsid w:val="00EB0BD0"/>
    <w:rsid w:val="00F601C2"/>
    <w:rsid w:val="00F70364"/>
    <w:rsid w:val="00F9120A"/>
    <w:rsid w:val="00F94E10"/>
    <w:rsid w:val="00FC00D0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BB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CF3BBD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C812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BB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CF3BBD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C812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ae.ro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foreignpolicy.com/articles/2014/01/06/making_the_grade_how_to_judge_foreign_policy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cr.ro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osce.org" TargetMode="External"/><Relationship Id="rId10" Type="http://schemas.openxmlformats.org/officeDocument/2006/relationships/hyperlink" Target="http://legal.un.org/avl/ha/vccr/vccr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legal.un.org/avl/ha/vcdr/vcdr.html" TargetMode="External"/><Relationship Id="rId14" Type="http://schemas.openxmlformats.org/officeDocument/2006/relationships/hyperlink" Target="http://www.un.org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3EC61-0B00-4FF0-86D0-0ACB8B47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5854</TotalTime>
  <Pages>5</Pages>
  <Words>1279</Words>
  <Characters>7296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8558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Silviu Rogobete</cp:lastModifiedBy>
  <cp:revision>13</cp:revision>
  <cp:lastPrinted>2012-09-18T07:35:00Z</cp:lastPrinted>
  <dcterms:created xsi:type="dcterms:W3CDTF">2014-02-08T14:00:00Z</dcterms:created>
  <dcterms:modified xsi:type="dcterms:W3CDTF">2014-10-25T15:21:00Z</dcterms:modified>
</cp:coreProperties>
</file>