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24" w:rsidRDefault="00594424" w:rsidP="00A26AF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594424" w:rsidRPr="00307A66" w:rsidRDefault="00594424" w:rsidP="00A26AF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594424" w:rsidRPr="00307A66" w:rsidRDefault="00594424" w:rsidP="00A26AFD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86"/>
        <w:gridCol w:w="6302"/>
      </w:tblGrid>
      <w:tr w:rsidR="00594424" w:rsidRPr="00016914" w:rsidTr="001320A8">
        <w:tc>
          <w:tcPr>
            <w:tcW w:w="1907" w:type="pct"/>
            <w:vAlign w:val="center"/>
          </w:tcPr>
          <w:p w:rsidR="00594424" w:rsidRPr="001320A8" w:rsidRDefault="00594424" w:rsidP="00A26AFD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F54B6">
              <w:rPr>
                <w:rFonts w:ascii="Arial" w:hAnsi="Arial" w:cs="Arial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594424" w:rsidRPr="00016914" w:rsidTr="001320A8">
        <w:tc>
          <w:tcPr>
            <w:tcW w:w="1907" w:type="pct"/>
            <w:vAlign w:val="center"/>
          </w:tcPr>
          <w:p w:rsidR="00594424" w:rsidRPr="001320A8" w:rsidRDefault="00594424" w:rsidP="00FD000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 xml:space="preserve">1.2 Facultatea / </w:t>
            </w:r>
          </w:p>
        </w:tc>
        <w:tc>
          <w:tcPr>
            <w:tcW w:w="3093" w:type="pct"/>
            <w:vAlign w:val="center"/>
          </w:tcPr>
          <w:p w:rsidR="00594424" w:rsidRPr="001320A8" w:rsidRDefault="00594424" w:rsidP="00A26AFD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EF54B6">
              <w:rPr>
                <w:rFonts w:ascii="Arial" w:hAnsi="Arial" w:cs="Arial"/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594424" w:rsidRPr="00016914" w:rsidTr="001320A8">
        <w:tc>
          <w:tcPr>
            <w:tcW w:w="1907" w:type="pct"/>
            <w:vAlign w:val="center"/>
          </w:tcPr>
          <w:p w:rsidR="00594424" w:rsidRPr="001320A8" w:rsidRDefault="00594424" w:rsidP="00FD000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 xml:space="preserve">1.3 </w:t>
            </w:r>
            <w:r w:rsidR="00FD0007" w:rsidRPr="001320A8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Arial" w:hAnsi="Arial" w:cs="Arial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594424" w:rsidRPr="00307A66" w:rsidTr="001320A8">
        <w:tc>
          <w:tcPr>
            <w:tcW w:w="1907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594424" w:rsidRPr="00307A66" w:rsidTr="001320A8">
        <w:tc>
          <w:tcPr>
            <w:tcW w:w="1907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594424" w:rsidRPr="00016914" w:rsidTr="001320A8">
        <w:tc>
          <w:tcPr>
            <w:tcW w:w="1907" w:type="pct"/>
            <w:vAlign w:val="center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594424" w:rsidRPr="001320A8" w:rsidRDefault="0070385B" w:rsidP="002771E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  <w:r w:rsidR="002771E3">
              <w:rPr>
                <w:rFonts w:ascii="Times New Roman" w:hAnsi="Times New Roman"/>
                <w:lang w:val="ro-RO"/>
              </w:rPr>
              <w:t xml:space="preserve"> / </w:t>
            </w:r>
            <w:r w:rsidR="002771E3" w:rsidRPr="002771E3">
              <w:rPr>
                <w:rFonts w:ascii="Times New Roman" w:hAnsi="Times New Roman"/>
                <w:lang w:val="ro-RO"/>
              </w:rPr>
              <w:t>Profesor în învăţământul liceal,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postliceal, profesional şi de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maiştri - 232101; Profesor în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învăţământul gimnazial -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232201; Consilier învăţământ -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235201; Expert învăţământ -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235202; Inspector învăţământ -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235203; Referent de specialitate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învăţământ - 235204; Secretar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institut, facultate - 235901;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Mentor - 235902; Consilier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şcolar - 235903; Filozof -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244301; Mediator - 244702;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Consilier pentru tineret - 244801;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Comentator publicist - 245102;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Corespondent special (ţară şi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străinătate) - 245104;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Corespondent radio - 245105;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Corespondent presă - 245106;</w:t>
            </w:r>
            <w:r w:rsidR="002771E3">
              <w:rPr>
                <w:rFonts w:ascii="Times New Roman" w:hAnsi="Times New Roman"/>
                <w:lang w:val="ro-RO"/>
              </w:rPr>
              <w:t xml:space="preserve"> e</w:t>
            </w:r>
            <w:r w:rsidR="002771E3" w:rsidRPr="002771E3">
              <w:rPr>
                <w:rFonts w:ascii="Times New Roman" w:hAnsi="Times New Roman"/>
                <w:lang w:val="ro-RO"/>
              </w:rPr>
              <w:t>ditorialist - 245108; Lector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presă / editură - 245110;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Publicist comentator - 245112;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 xml:space="preserve">Redactor - 245113; </w:t>
            </w:r>
            <w:r w:rsidR="002771E3">
              <w:rPr>
                <w:rFonts w:ascii="Times New Roman" w:hAnsi="Times New Roman"/>
                <w:lang w:val="ro-RO"/>
              </w:rPr>
              <w:t xml:space="preserve"> a</w:t>
            </w:r>
            <w:r w:rsidR="002771E3" w:rsidRPr="002771E3">
              <w:rPr>
                <w:rFonts w:ascii="Times New Roman" w:hAnsi="Times New Roman"/>
                <w:lang w:val="ro-RO"/>
              </w:rPr>
              <w:t xml:space="preserve">sistent </w:t>
            </w:r>
            <w:r w:rsidR="002771E3">
              <w:rPr>
                <w:rFonts w:ascii="Times New Roman" w:hAnsi="Times New Roman"/>
                <w:lang w:val="ro-RO"/>
              </w:rPr>
              <w:t xml:space="preserve"> d</w:t>
            </w:r>
            <w:r w:rsidR="002771E3" w:rsidRPr="002771E3">
              <w:rPr>
                <w:rFonts w:ascii="Times New Roman" w:hAnsi="Times New Roman"/>
                <w:lang w:val="ro-RO"/>
              </w:rPr>
              <w:t>e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cercetare în filozofie - 258302;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+ alte ocupații propuse: consilier</w:t>
            </w:r>
            <w:r w:rsidR="002771E3">
              <w:rPr>
                <w:rFonts w:ascii="Times New Roman" w:hAnsi="Times New Roman"/>
                <w:lang w:val="ro-RO"/>
              </w:rPr>
              <w:t xml:space="preserve"> </w:t>
            </w:r>
            <w:r w:rsidR="002771E3" w:rsidRPr="002771E3">
              <w:rPr>
                <w:rFonts w:ascii="Times New Roman" w:hAnsi="Times New Roman"/>
                <w:lang w:val="ro-RO"/>
              </w:rPr>
              <w:t>de etică; asistent de consiliere</w:t>
            </w:r>
          </w:p>
        </w:tc>
      </w:tr>
    </w:tbl>
    <w:p w:rsidR="002771E3" w:rsidRPr="00307A66" w:rsidRDefault="002771E3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594424" w:rsidRPr="00307A66" w:rsidTr="001320A8">
        <w:tc>
          <w:tcPr>
            <w:tcW w:w="3828" w:type="dxa"/>
            <w:gridSpan w:val="3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INTRODUCERE IN IMAGOLOGIE</w:t>
            </w:r>
          </w:p>
        </w:tc>
      </w:tr>
      <w:tr w:rsidR="00594424" w:rsidRPr="000349BD" w:rsidTr="001320A8">
        <w:tc>
          <w:tcPr>
            <w:tcW w:w="3828" w:type="dxa"/>
            <w:gridSpan w:val="3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Lect.dr. Claudiu Mesaros</w:t>
            </w:r>
          </w:p>
        </w:tc>
      </w:tr>
      <w:tr w:rsidR="00594424" w:rsidRPr="000349BD" w:rsidTr="0070385B">
        <w:trPr>
          <w:trHeight w:val="347"/>
        </w:trPr>
        <w:tc>
          <w:tcPr>
            <w:tcW w:w="3828" w:type="dxa"/>
            <w:gridSpan w:val="3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4424" w:rsidRPr="000349BD" w:rsidTr="001320A8">
        <w:tc>
          <w:tcPr>
            <w:tcW w:w="1843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701" w:type="dxa"/>
            <w:gridSpan w:val="2"/>
          </w:tcPr>
          <w:p w:rsidR="00594424" w:rsidRPr="001320A8" w:rsidRDefault="00594424" w:rsidP="00A26AFD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594424" w:rsidRPr="001320A8" w:rsidRDefault="00594424" w:rsidP="00A26AFD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594424" w:rsidRPr="001320A8" w:rsidRDefault="00594424" w:rsidP="00A26AFD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594424" w:rsidRPr="00307A66" w:rsidTr="006D0A8A">
        <w:tc>
          <w:tcPr>
            <w:tcW w:w="36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594424" w:rsidRPr="00307A66" w:rsidTr="006D0A8A">
        <w:tc>
          <w:tcPr>
            <w:tcW w:w="36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594424" w:rsidRPr="00307A66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594424" w:rsidRPr="000349BD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594424" w:rsidRPr="000349BD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594424" w:rsidRPr="00307A66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0167D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594424" w:rsidRPr="00307A66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594424" w:rsidRPr="00307A66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20167D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594424" w:rsidRPr="00307A66" w:rsidTr="006D0A8A">
        <w:tc>
          <w:tcPr>
            <w:tcW w:w="9464" w:type="dxa"/>
            <w:gridSpan w:val="6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4424" w:rsidRPr="00307A66" w:rsidTr="006D0A8A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77</w:t>
            </w:r>
          </w:p>
        </w:tc>
      </w:tr>
      <w:tr w:rsidR="00594424" w:rsidRPr="00307A66" w:rsidTr="006D0A8A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4424" w:rsidRPr="001320A8" w:rsidRDefault="002771E3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106</w:t>
            </w:r>
          </w:p>
        </w:tc>
      </w:tr>
      <w:tr w:rsidR="00594424" w:rsidRPr="00307A66" w:rsidTr="006D0A8A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594424" w:rsidRPr="00016914" w:rsidTr="001320A8">
        <w:tc>
          <w:tcPr>
            <w:tcW w:w="1985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594424" w:rsidRPr="001320A8" w:rsidRDefault="002771E3" w:rsidP="002771E3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2771E3">
              <w:rPr>
                <w:rFonts w:ascii="Times New Roman" w:hAnsi="Times New Roman"/>
                <w:lang w:val="ro-RO"/>
              </w:rPr>
              <w:t xml:space="preserve">Cunoștințe asociate disciplinelor: </w:t>
            </w:r>
            <w:r>
              <w:rPr>
                <w:rFonts w:ascii="Times New Roman" w:hAnsi="Times New Roman"/>
                <w:lang w:val="ro-RO"/>
              </w:rPr>
              <w:t>Istoria filosofiei moderne</w:t>
            </w:r>
          </w:p>
        </w:tc>
      </w:tr>
      <w:tr w:rsidR="00594424" w:rsidRPr="00307A66" w:rsidTr="001320A8">
        <w:tc>
          <w:tcPr>
            <w:tcW w:w="1985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594424" w:rsidRPr="001320A8" w:rsidRDefault="002771E3" w:rsidP="00A26AFD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2771E3">
              <w:rPr>
                <w:rFonts w:ascii="Times New Roman" w:hAnsi="Times New Roman"/>
                <w:lang w:val="ro-RO"/>
              </w:rPr>
              <w:t>Identificarea și rezolvarea unor probeme de comunicare cuturală</w:t>
            </w:r>
          </w:p>
        </w:tc>
      </w:tr>
    </w:tbl>
    <w:p w:rsidR="00594424" w:rsidRPr="00307A66" w:rsidRDefault="00594424" w:rsidP="00A26AFD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594424" w:rsidRPr="00016914" w:rsidTr="001320A8">
        <w:tc>
          <w:tcPr>
            <w:tcW w:w="4395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2771E3" w:rsidRPr="004F1BFE" w:rsidRDefault="002771E3" w:rsidP="002771E3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Mijloace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materiale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>,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conexiune</w:t>
            </w:r>
            <w:proofErr w:type="spellEnd"/>
            <w:r w:rsidRPr="004F1BFE">
              <w:rPr>
                <w:lang w:val="fr-FR"/>
              </w:rPr>
              <w:t xml:space="preserve"> la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2771E3" w:rsidRPr="004F1BFE" w:rsidRDefault="002771E3" w:rsidP="002771E3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silen</w:t>
            </w:r>
            <w:proofErr w:type="spellEnd"/>
            <w:r>
              <w:rPr>
                <w:lang w:val="fr-FR"/>
              </w:rPr>
              <w:t>ț</w:t>
            </w:r>
            <w:proofErr w:type="spellStart"/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594424" w:rsidRPr="001320A8" w:rsidRDefault="002771E3" w:rsidP="002771E3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</w:p>
        </w:tc>
      </w:tr>
      <w:tr w:rsidR="00594424" w:rsidRPr="00016914" w:rsidTr="001320A8">
        <w:tc>
          <w:tcPr>
            <w:tcW w:w="4395" w:type="dxa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lastRenderedPageBreak/>
              <w:t>5.2 de desfăşurare a seminarului/laboratorului</w:t>
            </w:r>
          </w:p>
        </w:tc>
        <w:tc>
          <w:tcPr>
            <w:tcW w:w="5812" w:type="dxa"/>
          </w:tcPr>
          <w:p w:rsidR="00594424" w:rsidRPr="001320A8" w:rsidRDefault="00594424" w:rsidP="00A26AFD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594424" w:rsidRPr="00307A66" w:rsidRDefault="00594424" w:rsidP="00A26AFD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594424" w:rsidRPr="006D0A8A" w:rsidTr="006D0A8A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594424" w:rsidRPr="001320A8" w:rsidRDefault="00594424" w:rsidP="00A26AF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6D0A8A" w:rsidRDefault="006D0A8A" w:rsidP="00A26AFD">
            <w:pPr>
              <w:spacing w:before="100" w:beforeAutospacing="1" w:after="100" w:afterAutospacing="1" w:line="240" w:lineRule="auto"/>
              <w:ind w:left="720"/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</w:pPr>
            <w:r>
              <w:rPr>
                <w:noProof/>
                <w:sz w:val="20"/>
                <w:szCs w:val="20"/>
                <w:lang w:val="it-IT"/>
              </w:rPr>
              <w:t xml:space="preserve">B. </w:t>
            </w:r>
            <w:r w:rsidRPr="00117CA4">
              <w:rPr>
                <w:noProof/>
                <w:sz w:val="20"/>
                <w:szCs w:val="20"/>
                <w:lang w:val="it-IT"/>
              </w:rPr>
              <w:t>Analiză critică şi prelucrare sintetică a ideilor şi doctrinelor generale</w:t>
            </w:r>
            <w:r w:rsidRPr="006D0A8A"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  <w:t xml:space="preserve"> </w:t>
            </w:r>
          </w:p>
          <w:p w:rsidR="006D0A8A" w:rsidRPr="006D0A8A" w:rsidRDefault="006D0A8A" w:rsidP="00A26AFD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B1, B2. </w:t>
            </w:r>
            <w:r w:rsidRPr="006D0A8A">
              <w:rPr>
                <w:sz w:val="20"/>
                <w:szCs w:val="20"/>
                <w:lang w:val="ro-RO"/>
              </w:rPr>
              <w:t>Prelucrarea asociativă a conceptelor filosofice în contextul artelor, politicii, ştiinţei contemporane</w:t>
            </w:r>
          </w:p>
          <w:p w:rsidR="006D0A8A" w:rsidRPr="006D0A8A" w:rsidRDefault="006D0A8A" w:rsidP="00A26AF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it-IT"/>
              </w:rPr>
              <w:t xml:space="preserve">F1, 2 </w:t>
            </w:r>
            <w:r w:rsidRPr="00117CA4">
              <w:rPr>
                <w:noProof/>
                <w:sz w:val="20"/>
                <w:szCs w:val="20"/>
                <w:lang w:val="it-IT"/>
              </w:rPr>
              <w:t>Propunere şi gestionare de proiecte cu impact comunitar</w:t>
            </w:r>
            <w:r>
              <w:rPr>
                <w:noProof/>
                <w:sz w:val="20"/>
                <w:szCs w:val="20"/>
                <w:lang w:val="it-IT"/>
              </w:rPr>
              <w:t xml:space="preserve"> </w:t>
            </w:r>
            <w:r w:rsidRPr="00AE0ED0">
              <w:rPr>
                <w:noProof/>
                <w:sz w:val="20"/>
                <w:szCs w:val="20"/>
                <w:lang w:val="it-IT"/>
              </w:rPr>
              <w:t>cunoaşterea contextului şi relevanţei culturale a dezbaterilor şi soluţiilor întâlnite în studiul filosofiei</w:t>
            </w:r>
            <w:r>
              <w:rPr>
                <w:noProof/>
                <w:sz w:val="20"/>
                <w:szCs w:val="20"/>
                <w:lang w:val="it-IT"/>
              </w:rPr>
              <w:t xml:space="preserve"> </w:t>
            </w:r>
            <w:r w:rsidRPr="006D0A8A">
              <w:rPr>
                <w:sz w:val="20"/>
                <w:szCs w:val="20"/>
                <w:lang w:val="it-IT"/>
              </w:rPr>
              <w:t>Explicarea şi interpretarea unor probleme filosofice în contextul lor cultural, social, istoric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Pr="006D0A8A">
              <w:rPr>
                <w:sz w:val="20"/>
                <w:szCs w:val="20"/>
                <w:lang w:val="it-IT"/>
              </w:rPr>
              <w:t>Evaluarea impactului unor teze şi doctrine filosofice asupra mentalului soc</w:t>
            </w:r>
            <w:r>
              <w:rPr>
                <w:sz w:val="20"/>
                <w:szCs w:val="20"/>
                <w:lang w:val="it-IT"/>
              </w:rPr>
              <w:t xml:space="preserve">ial, comportamentelor, educaţie. </w:t>
            </w:r>
            <w:r w:rsidRPr="006D0A8A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Identificarea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limitelor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impactului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discursului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filosofic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asupra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contextului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social </w:t>
            </w:r>
            <w:proofErr w:type="spellStart"/>
            <w:r w:rsidRPr="00AE0ED0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AE0ED0">
              <w:rPr>
                <w:sz w:val="20"/>
                <w:szCs w:val="20"/>
                <w:lang w:val="fr-FR"/>
              </w:rPr>
              <w:t xml:space="preserve"> cultural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6D0A8A">
              <w:rPr>
                <w:sz w:val="20"/>
                <w:szCs w:val="20"/>
              </w:rPr>
              <w:t>Alegerea</w:t>
            </w:r>
            <w:proofErr w:type="spellEnd"/>
            <w:r w:rsidRPr="006D0A8A">
              <w:rPr>
                <w:sz w:val="20"/>
                <w:szCs w:val="20"/>
              </w:rPr>
              <w:t xml:space="preserve">, </w:t>
            </w:r>
            <w:proofErr w:type="spellStart"/>
            <w:r w:rsidRPr="006D0A8A">
              <w:rPr>
                <w:sz w:val="20"/>
                <w:szCs w:val="20"/>
              </w:rPr>
              <w:t>planificarea</w:t>
            </w:r>
            <w:proofErr w:type="spellEnd"/>
            <w:r w:rsidRPr="006D0A8A">
              <w:rPr>
                <w:sz w:val="20"/>
                <w:szCs w:val="20"/>
              </w:rPr>
              <w:t xml:space="preserve"> </w:t>
            </w:r>
            <w:proofErr w:type="spellStart"/>
            <w:r w:rsidRPr="006D0A8A">
              <w:rPr>
                <w:sz w:val="20"/>
                <w:szCs w:val="20"/>
              </w:rPr>
              <w:t>şi</w:t>
            </w:r>
            <w:proofErr w:type="spellEnd"/>
            <w:r w:rsidRPr="006D0A8A">
              <w:rPr>
                <w:sz w:val="20"/>
                <w:szCs w:val="20"/>
              </w:rPr>
              <w:t xml:space="preserve"> </w:t>
            </w:r>
            <w:proofErr w:type="spellStart"/>
            <w:r w:rsidRPr="006D0A8A">
              <w:rPr>
                <w:sz w:val="20"/>
                <w:szCs w:val="20"/>
              </w:rPr>
              <w:t>realizarea</w:t>
            </w:r>
            <w:proofErr w:type="spellEnd"/>
            <w:r w:rsidRPr="006D0A8A">
              <w:rPr>
                <w:sz w:val="20"/>
                <w:szCs w:val="20"/>
              </w:rPr>
              <w:t xml:space="preserve"> </w:t>
            </w:r>
            <w:proofErr w:type="spellStart"/>
            <w:r w:rsidRPr="006D0A8A">
              <w:rPr>
                <w:sz w:val="20"/>
                <w:szCs w:val="20"/>
              </w:rPr>
              <w:t>unei</w:t>
            </w:r>
            <w:proofErr w:type="spellEnd"/>
            <w:r w:rsidRPr="006D0A8A">
              <w:rPr>
                <w:sz w:val="20"/>
                <w:szCs w:val="20"/>
              </w:rPr>
              <w:t xml:space="preserve"> </w:t>
            </w:r>
            <w:proofErr w:type="spellStart"/>
            <w:r w:rsidRPr="006D0A8A">
              <w:rPr>
                <w:sz w:val="20"/>
                <w:szCs w:val="20"/>
              </w:rPr>
              <w:t>dizertaţii</w:t>
            </w:r>
            <w:proofErr w:type="spellEnd"/>
            <w:r w:rsidRPr="006D0A8A">
              <w:rPr>
                <w:sz w:val="20"/>
                <w:szCs w:val="20"/>
              </w:rPr>
              <w:t xml:space="preserve"> finale</w:t>
            </w:r>
          </w:p>
        </w:tc>
      </w:tr>
      <w:tr w:rsidR="00594424" w:rsidRPr="006D0A8A" w:rsidTr="006D0A8A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594424" w:rsidRPr="001320A8" w:rsidRDefault="00594424" w:rsidP="00A26AF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6D0A8A" w:rsidRDefault="006D0A8A" w:rsidP="00A26AFD">
            <w:pPr>
              <w:rPr>
                <w:noProof/>
                <w:sz w:val="20"/>
                <w:szCs w:val="20"/>
                <w:lang w:val="fr-FR"/>
              </w:rPr>
            </w:pPr>
            <w:r w:rsidRPr="009B5084">
              <w:rPr>
                <w:noProof/>
                <w:sz w:val="20"/>
                <w:szCs w:val="20"/>
                <w:lang w:val="fr-FR"/>
              </w:rPr>
              <w:t>capacitatea de a conduce, de a accepta critica şi de a folosi feedbackul pentru a îmbunătăţi performanţele celorlalţi.</w:t>
            </w:r>
          </w:p>
          <w:p w:rsidR="006D0A8A" w:rsidRDefault="006D0A8A" w:rsidP="00A26AFD">
            <w:pPr>
              <w:rPr>
                <w:noProof/>
                <w:sz w:val="20"/>
                <w:szCs w:val="20"/>
                <w:lang w:val="fr-FR"/>
              </w:rPr>
            </w:pPr>
            <w:r w:rsidRPr="009B5084">
              <w:rPr>
                <w:noProof/>
                <w:sz w:val="20"/>
                <w:szCs w:val="20"/>
                <w:lang w:val="fr-FR"/>
              </w:rPr>
              <w:t>- capacitatea de a contribui şi colabora într-un mediu social (uman) nestructurat.</w:t>
            </w:r>
            <w:r>
              <w:rPr>
                <w:noProof/>
                <w:sz w:val="20"/>
                <w:szCs w:val="20"/>
                <w:lang w:val="fr-FR"/>
              </w:rPr>
              <w:t xml:space="preserve"> </w:t>
            </w:r>
          </w:p>
          <w:p w:rsidR="006D0A8A" w:rsidRPr="006D0A8A" w:rsidRDefault="006D0A8A" w:rsidP="00A26AFD">
            <w:pPr>
              <w:rPr>
                <w:noProof/>
                <w:sz w:val="20"/>
                <w:szCs w:val="20"/>
              </w:rPr>
            </w:pPr>
            <w:r w:rsidRPr="006D0A8A">
              <w:rPr>
                <w:noProof/>
                <w:sz w:val="20"/>
                <w:szCs w:val="20"/>
              </w:rPr>
              <w:t xml:space="preserve">- capacitatea de a supraveghea realizarea unor sarcini specifice şi rezolvarea unei situaţii conflictuale. </w:t>
            </w:r>
          </w:p>
          <w:p w:rsidR="006D0A8A" w:rsidRPr="006D0A8A" w:rsidRDefault="006D0A8A" w:rsidP="00A26AFD">
            <w:pPr>
              <w:rPr>
                <w:noProof/>
                <w:sz w:val="20"/>
                <w:szCs w:val="20"/>
              </w:rPr>
            </w:pPr>
            <w:r w:rsidRPr="006D0A8A">
              <w:rPr>
                <w:noProof/>
                <w:sz w:val="20"/>
                <w:szCs w:val="20"/>
              </w:rPr>
              <w:t xml:space="preserve">- capacitatea de a analiza, interpreta şi utiliza datele în găsirea soluţiilor unor probleme de coordonare specifice. </w:t>
            </w:r>
          </w:p>
          <w:p w:rsidR="006D0A8A" w:rsidRPr="001320A8" w:rsidRDefault="006D0A8A" w:rsidP="00A26AFD">
            <w:pPr>
              <w:rPr>
                <w:rFonts w:ascii="Times New Roman" w:hAnsi="Times New Roman"/>
                <w:lang w:val="ro-RO"/>
              </w:rPr>
            </w:pPr>
            <w:r w:rsidRPr="006D0A8A">
              <w:rPr>
                <w:noProof/>
                <w:sz w:val="20"/>
                <w:szCs w:val="20"/>
              </w:rPr>
              <w:t>- stăpânirea şi utilizarea tehnicilor de comunicare organizaţională în diferitele contexte de rezolvare a sarcinilor.</w:t>
            </w:r>
          </w:p>
        </w:tc>
      </w:tr>
    </w:tbl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594424" w:rsidRPr="00EF54B6" w:rsidTr="006D0A8A">
        <w:tc>
          <w:tcPr>
            <w:tcW w:w="3403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94424" w:rsidRPr="00EF54B6" w:rsidRDefault="00594424" w:rsidP="00A26AFD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F54B6">
              <w:rPr>
                <w:rFonts w:ascii="Arial" w:hAnsi="Arial" w:cs="Arial"/>
                <w:sz w:val="20"/>
                <w:szCs w:val="20"/>
                <w:lang w:val="it-IT"/>
              </w:rPr>
              <w:t>Cunoaşterea şi insusirea notiunilor disciplinei</w:t>
            </w:r>
          </w:p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F54B6">
              <w:rPr>
                <w:rFonts w:ascii="Arial" w:hAnsi="Arial" w:cs="Arial"/>
                <w:sz w:val="20"/>
                <w:szCs w:val="20"/>
                <w:lang w:val="it-IT"/>
              </w:rPr>
              <w:t>Familiarizarea cu principalele activităţi ale strategiei RP</w:t>
            </w:r>
          </w:p>
        </w:tc>
      </w:tr>
      <w:tr w:rsidR="00594424" w:rsidRPr="00016914" w:rsidTr="006D0A8A">
        <w:tc>
          <w:tcPr>
            <w:tcW w:w="3403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594424" w:rsidRPr="001320A8" w:rsidRDefault="00594424" w:rsidP="00A26AFD">
            <w:pPr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320A8">
              <w:rPr>
                <w:rFonts w:ascii="Arial" w:hAnsi="Arial" w:cs="Arial"/>
                <w:sz w:val="20"/>
                <w:szCs w:val="20"/>
                <w:lang w:val="ro-RO"/>
              </w:rPr>
              <w:t>cunoaşterea şi înţelegerea activitatilor fundamentale şi a conceptelor specifice domeniului imagologiei</w:t>
            </w:r>
          </w:p>
          <w:p w:rsidR="00594424" w:rsidRPr="001320A8" w:rsidRDefault="00594424" w:rsidP="00A26AFD">
            <w:pPr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320A8">
              <w:rPr>
                <w:rFonts w:ascii="Arial" w:hAnsi="Arial" w:cs="Arial"/>
                <w:sz w:val="20"/>
                <w:szCs w:val="20"/>
                <w:lang w:val="ro-RO"/>
              </w:rPr>
              <w:t>− analiza unor purtatori de indicatori de imagine</w:t>
            </w:r>
          </w:p>
          <w:p w:rsidR="00594424" w:rsidRPr="001320A8" w:rsidRDefault="00594424" w:rsidP="00A26AF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Arial" w:hAnsi="Arial" w:cs="Arial"/>
                <w:sz w:val="20"/>
                <w:szCs w:val="20"/>
                <w:lang w:val="ro-RO"/>
              </w:rPr>
              <w:t>− antrenarea abilităţilor de documentare şi sinteză</w:t>
            </w:r>
          </w:p>
        </w:tc>
      </w:tr>
    </w:tbl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25"/>
        <w:gridCol w:w="2999"/>
        <w:gridCol w:w="2998"/>
      </w:tblGrid>
      <w:tr w:rsidR="00594424" w:rsidRPr="00307A66" w:rsidTr="007A55F6">
        <w:tc>
          <w:tcPr>
            <w:tcW w:w="4302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579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341" w:type="dxa"/>
            <w:shd w:val="clear" w:color="auto" w:fill="auto"/>
          </w:tcPr>
          <w:p w:rsidR="00594424" w:rsidRPr="001320A8" w:rsidRDefault="00594424" w:rsidP="00A26A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Obiectul disciplinei imagologie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</w:rPr>
            </w:pPr>
            <w:r w:rsidRPr="001320A8">
              <w:rPr>
                <w:rFonts w:ascii="Times New Roman" w:hAnsi="Times New Roman"/>
                <w:lang w:val="it-IT"/>
              </w:rPr>
              <w:t>Imaginatie, imaginar, imaginal.</w:t>
            </w:r>
          </w:p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Imagine si comunicare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Scurta istorie a imagologiei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Concepte ale imagologiei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it-IT"/>
              </w:rPr>
            </w:pPr>
            <w:r w:rsidRPr="001320A8">
              <w:rPr>
                <w:rFonts w:ascii="Times New Roman" w:hAnsi="Times New Roman"/>
                <w:lang w:val="it-IT"/>
              </w:rPr>
              <w:t>Imagine sociala, imagine.</w:t>
            </w:r>
          </w:p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fr-FR"/>
              </w:rPr>
            </w:pPr>
            <w:r w:rsidRPr="001320A8">
              <w:rPr>
                <w:rFonts w:ascii="Times New Roman" w:hAnsi="Times New Roman"/>
                <w:lang w:val="it-IT"/>
              </w:rPr>
              <w:t xml:space="preserve">identitate, alteritate, hibriditate, </w:t>
            </w:r>
          </w:p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fr-FR"/>
              </w:rPr>
            </w:pPr>
            <w:r w:rsidRPr="001320A8">
              <w:rPr>
                <w:rFonts w:ascii="Times New Roman" w:hAnsi="Times New Roman"/>
                <w:lang w:val="it-IT"/>
              </w:rPr>
              <w:t>Cultura, culturi, aculturatie, relativism cultural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Mit,mitologie, stereotip, natiune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 xml:space="preserve">Imagini despre altul. Evrei, tigani, </w:t>
            </w:r>
            <w:r w:rsidRPr="001320A8">
              <w:rPr>
                <w:rFonts w:ascii="Times New Roman" w:hAnsi="Times New Roman"/>
                <w:lang w:val="it-IT"/>
              </w:rPr>
              <w:lastRenderedPageBreak/>
              <w:t>unguri, romani.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Prelegerea, conversația, </w:t>
            </w:r>
            <w:r>
              <w:rPr>
                <w:rFonts w:ascii="Times New Roman" w:hAnsi="Times New Roman"/>
                <w:lang w:val="ro-RO"/>
              </w:rPr>
              <w:lastRenderedPageBreak/>
              <w:t>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lastRenderedPageBreak/>
              <w:t xml:space="preserve">Moarte, univers, loc, timp si alte imagini. 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Turismul ca sursa de imagini stereotipe.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935398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Principii epistemologice ale imagologiei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it-IT"/>
              </w:rPr>
              <w:t>Analiza de imagine. Interpretarea imaginilor sociale</w:t>
            </w:r>
          </w:p>
        </w:tc>
        <w:tc>
          <w:tcPr>
            <w:tcW w:w="2579" w:type="dxa"/>
            <w:shd w:val="clear" w:color="auto" w:fill="auto"/>
          </w:tcPr>
          <w:p w:rsidR="007A55F6" w:rsidRPr="002560A4" w:rsidRDefault="007A55F6" w:rsidP="005B3E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2771E3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79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A55F6" w:rsidRPr="00307A66" w:rsidTr="007A55F6">
        <w:tc>
          <w:tcPr>
            <w:tcW w:w="10222" w:type="dxa"/>
            <w:gridSpan w:val="3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Ana Maria Sireteanu, </w:t>
            </w:r>
            <w:r w:rsidRPr="000A4A7D">
              <w:rPr>
                <w:rFonts w:ascii="Times New Roman" w:hAnsi="Times New Roman"/>
                <w:i/>
                <w:lang w:val="ro-RO"/>
              </w:rPr>
              <w:t>Media si Imagologia, Tritonic, 2010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Andi Mihalache, Silvia Marin-Baruteieff, </w:t>
            </w:r>
            <w:r w:rsidRPr="000A4A7D">
              <w:rPr>
                <w:rFonts w:ascii="Times New Roman" w:hAnsi="Times New Roman"/>
                <w:i/>
                <w:lang w:val="ro-RO"/>
              </w:rPr>
              <w:t xml:space="preserve">De la fictiv la real. Imaginea.Imaginarul.Imagologia., </w:t>
            </w:r>
            <w:r w:rsidRPr="000A4A7D">
              <w:rPr>
                <w:rFonts w:ascii="Times New Roman" w:hAnsi="Times New Roman"/>
                <w:lang w:val="ro-RO"/>
              </w:rPr>
              <w:t>Editura Universitatii Alexandru Ioan Cuza Iasi.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Alain Joannes, </w:t>
            </w:r>
            <w:r w:rsidRPr="000A4A7D">
              <w:rPr>
                <w:rFonts w:ascii="Times New Roman" w:hAnsi="Times New Roman"/>
                <w:i/>
                <w:lang w:val="ro-RO"/>
              </w:rPr>
              <w:t xml:space="preserve">Comunicarea prin imagini, </w:t>
            </w:r>
            <w:r w:rsidRPr="000A4A7D">
              <w:rPr>
                <w:rFonts w:ascii="Times New Roman" w:hAnsi="Times New Roman"/>
                <w:lang w:val="ro-RO"/>
              </w:rPr>
              <w:t>Polirom.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Philippe Aries,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Timpul istoriei, </w:t>
            </w:r>
            <w:r w:rsidRPr="000A4A7D">
              <w:rPr>
                <w:rFonts w:ascii="Times New Roman" w:hAnsi="Times New Roman"/>
                <w:lang w:val="ro-RO"/>
              </w:rPr>
              <w:t>Editura Meridiane, Bucureşti, 1997.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Manfred Beller, Joep Leerssen, </w:t>
            </w:r>
            <w:r w:rsidRPr="000A4A7D">
              <w:rPr>
                <w:rFonts w:ascii="Times New Roman" w:hAnsi="Times New Roman"/>
                <w:i/>
                <w:lang w:val="ro-RO"/>
              </w:rPr>
              <w:t>Imagology. The cultural construction and literary representation of national cheracters. A critical survey</w:t>
            </w:r>
            <w:r w:rsidRPr="000A4A7D">
              <w:rPr>
                <w:rFonts w:ascii="Times New Roman" w:hAnsi="Times New Roman"/>
                <w:lang w:val="ro-RO"/>
              </w:rPr>
              <w:t>, 2011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iCs/>
                <w:lang w:val="ro-RO" w:eastAsia="ro-RO"/>
              </w:rPr>
            </w:pPr>
            <w:r w:rsidRPr="000A4A7D">
              <w:rPr>
                <w:rFonts w:ascii="Times New Roman" w:hAnsi="Times New Roman"/>
                <w:lang w:val="ro-RO" w:eastAsia="ro-RO"/>
              </w:rPr>
              <w:t xml:space="preserve">CORIN BRAGA, ”Imagination”, ”imaginaire”, ”imaginal”, Three concepts for defining creative fantasy”, in: </w:t>
            </w:r>
            <w:r w:rsidRPr="000A4A7D">
              <w:rPr>
                <w:rFonts w:ascii="Times New Roman" w:hAnsi="Times New Roman"/>
                <w:i/>
                <w:iCs/>
                <w:lang w:val="ro-RO" w:eastAsia="ro-RO"/>
              </w:rPr>
              <w:t>JSRI No. 16,  Spring 2007, pp. 59-68.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A4A7D">
              <w:rPr>
                <w:rFonts w:ascii="Times New Roman" w:hAnsi="Times New Roman"/>
              </w:rPr>
              <w:t>Albena</w:t>
            </w:r>
            <w:proofErr w:type="spellEnd"/>
            <w:r w:rsidRPr="000A4A7D">
              <w:rPr>
                <w:rFonts w:ascii="Times New Roman" w:hAnsi="Times New Roman"/>
              </w:rPr>
              <w:t xml:space="preserve"> </w:t>
            </w:r>
            <w:proofErr w:type="spellStart"/>
            <w:r w:rsidRPr="000A4A7D">
              <w:rPr>
                <w:rFonts w:ascii="Times New Roman" w:hAnsi="Times New Roman"/>
              </w:rPr>
              <w:t>Bakratcheva</w:t>
            </w:r>
            <w:proofErr w:type="spellEnd"/>
            <w:r w:rsidRPr="000A4A7D">
              <w:rPr>
                <w:rFonts w:ascii="Times New Roman" w:hAnsi="Times New Roman"/>
              </w:rPr>
              <w:t xml:space="preserve">, </w:t>
            </w:r>
            <w:r w:rsidRPr="000A4A7D">
              <w:rPr>
                <w:rFonts w:ascii="Times New Roman" w:hAnsi="Times New Roman"/>
                <w:i/>
                <w:iCs/>
              </w:rPr>
              <w:t xml:space="preserve">From </w:t>
            </w:r>
            <w:proofErr w:type="spellStart"/>
            <w:r w:rsidRPr="000A4A7D">
              <w:rPr>
                <w:rFonts w:ascii="Times New Roman" w:hAnsi="Times New Roman"/>
                <w:i/>
                <w:iCs/>
              </w:rPr>
              <w:t>Interculturality</w:t>
            </w:r>
            <w:proofErr w:type="spellEnd"/>
            <w:r w:rsidRPr="000A4A7D">
              <w:rPr>
                <w:rFonts w:ascii="Times New Roman" w:hAnsi="Times New Roman"/>
                <w:i/>
                <w:iCs/>
              </w:rPr>
              <w:t xml:space="preserve"> to </w:t>
            </w:r>
            <w:proofErr w:type="spellStart"/>
            <w:r w:rsidRPr="000A4A7D">
              <w:rPr>
                <w:rFonts w:ascii="Times New Roman" w:hAnsi="Times New Roman"/>
                <w:i/>
                <w:iCs/>
              </w:rPr>
              <w:t>Multiculturality</w:t>
            </w:r>
            <w:proofErr w:type="spellEnd"/>
            <w:r w:rsidRPr="000A4A7D">
              <w:rPr>
                <w:rFonts w:ascii="Times New Roman" w:hAnsi="Times New Roman"/>
                <w:i/>
                <w:iCs/>
              </w:rPr>
              <w:t xml:space="preserve"> in Humanitarian Education, </w:t>
            </w:r>
            <w:r w:rsidRPr="000A4A7D">
              <w:rPr>
                <w:rFonts w:ascii="Times New Roman" w:hAnsi="Times New Roman"/>
              </w:rPr>
              <w:t>- Fourth Fulbright Conference: "Globalization and Cultural Differences", Sofia, May 19-21, 2000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fr-FR"/>
              </w:rPr>
            </w:pPr>
            <w:r w:rsidRPr="000A4A7D">
              <w:rPr>
                <w:rFonts w:ascii="Times New Roman" w:hAnsi="Times New Roman"/>
                <w:lang w:val="fr-FR"/>
              </w:rPr>
              <w:t xml:space="preserve">Ivan </w:t>
            </w:r>
            <w:proofErr w:type="spellStart"/>
            <w:r w:rsidRPr="000A4A7D">
              <w:rPr>
                <w:rFonts w:ascii="Times New Roman" w:hAnsi="Times New Roman"/>
                <w:lang w:val="fr-FR"/>
              </w:rPr>
              <w:t>Evseev</w:t>
            </w:r>
            <w:proofErr w:type="spellEnd"/>
            <w:r w:rsidRPr="000A4A7D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A4A7D">
              <w:rPr>
                <w:rFonts w:ascii="Times New Roman" w:hAnsi="Times New Roman"/>
                <w:i/>
                <w:iCs/>
                <w:lang w:val="fr-FR"/>
              </w:rPr>
              <w:t>Jocurile</w:t>
            </w:r>
            <w:proofErr w:type="spellEnd"/>
            <w:r w:rsidRPr="000A4A7D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proofErr w:type="spellStart"/>
            <w:r w:rsidRPr="000A4A7D">
              <w:rPr>
                <w:rFonts w:ascii="Times New Roman" w:hAnsi="Times New Roman"/>
                <w:i/>
                <w:iCs/>
                <w:lang w:val="fr-FR"/>
              </w:rPr>
              <w:t>tradiţionale</w:t>
            </w:r>
            <w:proofErr w:type="spellEnd"/>
            <w:r w:rsidRPr="000A4A7D">
              <w:rPr>
                <w:rFonts w:ascii="Times New Roman" w:hAnsi="Times New Roman"/>
                <w:i/>
                <w:iCs/>
                <w:lang w:val="fr-FR"/>
              </w:rPr>
              <w:t xml:space="preserve"> de </w:t>
            </w:r>
            <w:proofErr w:type="spellStart"/>
            <w:r w:rsidRPr="000A4A7D">
              <w:rPr>
                <w:rFonts w:ascii="Times New Roman" w:hAnsi="Times New Roman"/>
                <w:i/>
                <w:iCs/>
                <w:lang w:val="fr-FR"/>
              </w:rPr>
              <w:t>copii</w:t>
            </w:r>
            <w:proofErr w:type="spellEnd"/>
            <w:r w:rsidRPr="000A4A7D">
              <w:rPr>
                <w:rFonts w:ascii="Times New Roman" w:hAnsi="Times New Roman"/>
                <w:i/>
                <w:iCs/>
                <w:lang w:val="fr-FR"/>
              </w:rPr>
              <w:t xml:space="preserve">, </w:t>
            </w:r>
            <w:proofErr w:type="spellStart"/>
            <w:r w:rsidRPr="000A4A7D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0A4A7D">
              <w:rPr>
                <w:rFonts w:ascii="Times New Roman" w:hAnsi="Times New Roman"/>
                <w:lang w:val="fr-FR"/>
              </w:rPr>
              <w:t xml:space="preserve"> Excelsior, Timişoara, 1994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A4A7D">
              <w:rPr>
                <w:rFonts w:ascii="Times New Roman" w:hAnsi="Times New Roman"/>
              </w:rPr>
              <w:t>Bhikhu</w:t>
            </w:r>
            <w:proofErr w:type="spellEnd"/>
            <w:r w:rsidRPr="000A4A7D">
              <w:rPr>
                <w:rFonts w:ascii="Times New Roman" w:hAnsi="Times New Roman"/>
              </w:rPr>
              <w:t xml:space="preserve"> </w:t>
            </w:r>
            <w:proofErr w:type="spellStart"/>
            <w:r w:rsidRPr="000A4A7D">
              <w:rPr>
                <w:rFonts w:ascii="Times New Roman" w:hAnsi="Times New Roman"/>
              </w:rPr>
              <w:t>Parech</w:t>
            </w:r>
            <w:proofErr w:type="spellEnd"/>
            <w:r w:rsidRPr="000A4A7D">
              <w:rPr>
                <w:rFonts w:ascii="Times New Roman" w:hAnsi="Times New Roman"/>
              </w:rPr>
              <w:t xml:space="preserve">, </w:t>
            </w:r>
            <w:r w:rsidRPr="000A4A7D">
              <w:rPr>
                <w:rFonts w:ascii="Times New Roman" w:hAnsi="Times New Roman"/>
                <w:i/>
                <w:iCs/>
              </w:rPr>
              <w:t xml:space="preserve">Rethinking Multiculturalism, </w:t>
            </w:r>
            <w:r w:rsidRPr="000A4A7D">
              <w:rPr>
                <w:rFonts w:ascii="Times New Roman" w:hAnsi="Times New Roman"/>
              </w:rPr>
              <w:t>Oxford, 1988.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 w:rsidRPr="000A4A7D">
              <w:rPr>
                <w:rFonts w:ascii="Times New Roman" w:hAnsi="Times New Roman"/>
                <w:lang w:val="ro-RO" w:eastAsia="ro-RO"/>
              </w:rPr>
              <w:t xml:space="preserve">Gheorghe Lascu, </w:t>
            </w:r>
            <w:r w:rsidRPr="000A4A7D">
              <w:rPr>
                <w:rFonts w:ascii="Times New Roman" w:hAnsi="Times New Roman"/>
                <w:bCs/>
                <w:lang w:val="ro-RO" w:eastAsia="ro-RO"/>
              </w:rPr>
              <w:t>Imagologia literara comparata. Citeva repere teoretice si metodologice,</w:t>
            </w:r>
            <w:r w:rsidRPr="000A4A7D">
              <w:rPr>
                <w:rFonts w:ascii="Times New Roman" w:hAnsi="Times New Roman"/>
                <w:lang w:val="ro-RO"/>
              </w:rPr>
              <w:t xml:space="preserve"> </w:t>
            </w:r>
            <w:r w:rsidRPr="000A4A7D">
              <w:rPr>
                <w:rFonts w:ascii="Times New Roman" w:hAnsi="Times New Roman"/>
                <w:shd w:val="clear" w:color="auto" w:fill="FFFFFF"/>
                <w:lang w:val="ro-RO"/>
              </w:rPr>
              <w:t>Caietele Echinox</w:t>
            </w:r>
            <w:r w:rsidRPr="000A4A7D">
              <w:rPr>
                <w:rFonts w:ascii="Times New Roman" w:hAnsi="Times New Roman"/>
                <w:lang w:val="ro-RO"/>
              </w:rPr>
              <w:t xml:space="preserve"> </w:t>
            </w:r>
            <w:r w:rsidRPr="000A4A7D">
              <w:rPr>
                <w:rFonts w:ascii="Times New Roman" w:hAnsi="Times New Roman"/>
                <w:bCs/>
                <w:lang w:val="ro-RO" w:eastAsia="ro-RO"/>
              </w:rPr>
              <w:t>2002  volume 2 Teoria si practica imaginii</w:t>
            </w:r>
            <w:r w:rsidRPr="000A4A7D">
              <w:rPr>
                <w:rFonts w:ascii="Times New Roman" w:hAnsi="Times New Roman"/>
                <w:lang w:val="ro-RO" w:eastAsia="ro-RO"/>
              </w:rPr>
              <w:t> </w:t>
            </w:r>
            <w:r w:rsidRPr="000A4A7D">
              <w:rPr>
                <w:rFonts w:ascii="Times New Roman" w:hAnsi="Times New Roman"/>
                <w:bCs/>
                <w:lang w:val="ro-RO" w:eastAsia="ro-RO"/>
              </w:rPr>
              <w:t>1</w:t>
            </w:r>
            <w:r w:rsidRPr="000A4A7D">
              <w:rPr>
                <w:rFonts w:ascii="Times New Roman" w:hAnsi="Times New Roman"/>
                <w:lang w:val="ro-RO" w:eastAsia="ro-RO"/>
              </w:rPr>
              <w:t xml:space="preserve"> pp. 78-86 ISSN 1582-960X, ISBN 973-35-1333-4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ION CHICIUDEAN,  BOGDAN-ALEXANDRU HALIC, </w:t>
            </w:r>
            <w:r w:rsidRPr="000A4A7D">
              <w:rPr>
                <w:rFonts w:ascii="Times New Roman" w:hAnsi="Times New Roman"/>
                <w:i/>
                <w:lang w:val="ro-RO"/>
              </w:rPr>
              <w:t>IMAGOLOGIE. IMAGOLOGIE ISTORICĂ</w:t>
            </w:r>
            <w:r w:rsidRPr="000A4A7D">
              <w:rPr>
                <w:rFonts w:ascii="Times New Roman" w:hAnsi="Times New Roman"/>
                <w:lang w:val="ro-RO"/>
              </w:rPr>
              <w:t>, - BUCUREŞTI, 2008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Mihaela Grancea: “Călători occidentali despre atitudinile româneşti în faţa morţii (1683-1789)”, în </w:t>
            </w:r>
            <w:r w:rsidRPr="000A4A7D">
              <w:rPr>
                <w:rFonts w:ascii="Times New Roman" w:hAnsi="Times New Roman"/>
                <w:i/>
                <w:lang w:val="ro-RO"/>
              </w:rPr>
              <w:t xml:space="preserve">Identitate şi alteritate. Studii de imagologie, II, </w:t>
            </w:r>
            <w:r w:rsidRPr="000A4A7D">
              <w:rPr>
                <w:rFonts w:ascii="Times New Roman" w:hAnsi="Times New Roman"/>
                <w:lang w:val="ro-RO"/>
              </w:rPr>
              <w:t>Presa Universitară Clujeană, 1998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Andrei Oisteanu Imaginea </w:t>
            </w:r>
            <w:r w:rsidRPr="000A4A7D">
              <w:rPr>
                <w:rFonts w:ascii="Times New Roman" w:hAnsi="Times New Roman"/>
                <w:i/>
                <w:lang w:val="ro-RO"/>
              </w:rPr>
              <w:t xml:space="preserve">evreului in cultura romana. Studiu de imagologie in context est-central european, </w:t>
            </w:r>
            <w:r w:rsidRPr="000A4A7D">
              <w:rPr>
                <w:rFonts w:ascii="Times New Roman" w:hAnsi="Times New Roman"/>
                <w:lang w:val="ro-RO"/>
              </w:rPr>
              <w:t>editie ilustrata, Bucuresti, Editura Humanitas, 2001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i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Marc Crépon, „L’idée de ‚philosophie nationale’”, dans </w:t>
            </w:r>
            <w:r w:rsidRPr="000A4A7D">
              <w:rPr>
                <w:rFonts w:ascii="Times New Roman" w:hAnsi="Times New Roman"/>
                <w:lang w:val="fr-FR"/>
              </w:rPr>
              <w:t xml:space="preserve">André Jacob </w:t>
            </w:r>
            <w:r w:rsidRPr="000A4A7D">
              <w:rPr>
                <w:rStyle w:val="bylinepipe"/>
                <w:rFonts w:ascii="Times New Roman" w:hAnsi="Times New Roman"/>
                <w:lang w:val="fr-FR"/>
              </w:rPr>
              <w:t xml:space="preserve">(Auteur), </w:t>
            </w:r>
            <w:r w:rsidRPr="000A4A7D">
              <w:rPr>
                <w:rFonts w:ascii="Times New Roman" w:hAnsi="Times New Roman"/>
                <w:i/>
                <w:lang w:val="fr-FR"/>
              </w:rPr>
              <w:t xml:space="preserve">Encyclopédie philosophique universelle, tome 4 : Le discours philosophique, </w:t>
            </w:r>
            <w:r w:rsidRPr="000A4A7D">
              <w:rPr>
                <w:rFonts w:ascii="Times New Roman" w:hAnsi="Times New Roman"/>
                <w:lang w:val="fr-FR"/>
              </w:rPr>
              <w:t>Presses Universitaires de France. Pp. 254-265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Jean Baudrillard,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Sistemul obiectelor, </w:t>
            </w:r>
            <w:r w:rsidRPr="000A4A7D">
              <w:rPr>
                <w:rFonts w:ascii="Times New Roman" w:hAnsi="Times New Roman"/>
                <w:lang w:val="ro-RO"/>
              </w:rPr>
              <w:t>Editura Echinox, Cluj, 1996.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Alain Renaut,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Era individului, </w:t>
            </w:r>
            <w:r w:rsidRPr="000A4A7D">
              <w:rPr>
                <w:rFonts w:ascii="Times New Roman" w:hAnsi="Times New Roman"/>
                <w:lang w:val="ro-RO"/>
              </w:rPr>
              <w:t xml:space="preserve">Institutul European, Iaşi, 1998, pp. 67-90. 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Jean Borella,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Criza simbolismului religios, </w:t>
            </w:r>
            <w:r w:rsidRPr="000A4A7D">
              <w:rPr>
                <w:rFonts w:ascii="Times New Roman" w:hAnsi="Times New Roman"/>
                <w:lang w:val="ro-RO"/>
              </w:rPr>
              <w:t>Institutul european, Iaşi, 1995</w:t>
            </w:r>
          </w:p>
          <w:p w:rsidR="007A55F6" w:rsidRPr="000A4A7D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Luc Benoist,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semne, simboluri şi mituri, </w:t>
            </w:r>
            <w:r w:rsidRPr="000A4A7D">
              <w:rPr>
                <w:rFonts w:ascii="Times New Roman" w:hAnsi="Times New Roman"/>
                <w:lang w:val="ro-RO"/>
              </w:rPr>
              <w:t>Editura Humanitas, Bucureşti, 1995.</w:t>
            </w:r>
          </w:p>
          <w:p w:rsidR="007A55F6" w:rsidRPr="001320A8" w:rsidRDefault="007A55F6" w:rsidP="00A26AFD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0A4A7D">
              <w:rPr>
                <w:rFonts w:ascii="Times New Roman" w:hAnsi="Times New Roman"/>
                <w:lang w:val="ro-RO"/>
              </w:rPr>
              <w:t xml:space="preserve">Kymlicka, W., </w:t>
            </w:r>
            <w:r w:rsidRPr="000A4A7D">
              <w:rPr>
                <w:rFonts w:ascii="Times New Roman" w:hAnsi="Times New Roman"/>
                <w:i/>
                <w:iCs/>
                <w:lang w:val="ro-RO"/>
              </w:rPr>
              <w:t xml:space="preserve">Politics in The Vernacular. Nationalism, Multiculturalism, and Citizenship, </w:t>
            </w:r>
            <w:r w:rsidRPr="000A4A7D">
              <w:rPr>
                <w:rFonts w:ascii="Times New Roman" w:hAnsi="Times New Roman"/>
                <w:lang w:val="ro-RO"/>
              </w:rPr>
              <w:t>Oxford University Press, 2001.</w:t>
            </w:r>
          </w:p>
        </w:tc>
      </w:tr>
      <w:tr w:rsidR="007A55F6" w:rsidRPr="00307A66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579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A55F6" w:rsidRPr="0070385B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79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A55F6" w:rsidRPr="004C5E37" w:rsidTr="007A55F6">
        <w:tc>
          <w:tcPr>
            <w:tcW w:w="4302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79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341" w:type="dxa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A55F6" w:rsidRPr="00016914" w:rsidTr="007A55F6">
        <w:tc>
          <w:tcPr>
            <w:tcW w:w="10222" w:type="dxa"/>
            <w:gridSpan w:val="3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320A8">
              <w:rPr>
                <w:rFonts w:ascii="Times New Roman" w:hAnsi="Times New Roman"/>
                <w:b/>
                <w:lang w:val="ro-RO"/>
              </w:rPr>
              <w:t>Bibliografie</w:t>
            </w:r>
          </w:p>
          <w:tbl>
            <w:tblPr>
              <w:tblpPr w:leftFromText="180" w:rightFromText="180" w:vertAnchor="text" w:horzAnchor="margin" w:tblpY="-79"/>
              <w:tblW w:w="10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856"/>
              <w:gridCol w:w="4442"/>
              <w:gridCol w:w="1883"/>
              <w:gridCol w:w="2041"/>
            </w:tblGrid>
            <w:tr w:rsidR="007A55F6" w:rsidRPr="00307A66" w:rsidTr="006D0A8A"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lastRenderedPageBreak/>
                    <w:t>Tip activitate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10.1 Criterii de evaluare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10.2 Metode de evaluare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10.3 Pondere din nota finală</w:t>
                  </w:r>
                </w:p>
              </w:tc>
            </w:tr>
            <w:tr w:rsidR="007A55F6" w:rsidRPr="00143A7B" w:rsidTr="006D0A8A">
              <w:tc>
                <w:tcPr>
                  <w:tcW w:w="0" w:type="auto"/>
                  <w:vMerge w:val="restart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10.4 Curs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1320A8" w:rsidRDefault="007A55F6" w:rsidP="00A26AFD">
                  <w:pPr>
                    <w:spacing w:after="0" w:line="240" w:lineRule="auto"/>
                    <w:ind w:left="553"/>
                    <w:rPr>
                      <w:lang w:val="es-ES"/>
                    </w:rPr>
                  </w:pPr>
                  <w:proofErr w:type="spellStart"/>
                  <w:r w:rsidRPr="001320A8">
                    <w:rPr>
                      <w:lang w:val="es-ES"/>
                    </w:rPr>
                    <w:t>Cunoaşterea</w:t>
                  </w:r>
                  <w:proofErr w:type="spellEnd"/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detaliată</w:t>
                  </w:r>
                  <w:proofErr w:type="spellEnd"/>
                  <w:r w:rsidRPr="001320A8">
                    <w:rPr>
                      <w:lang w:val="es-ES"/>
                    </w:rPr>
                    <w:t xml:space="preserve"> a </w:t>
                  </w:r>
                  <w:proofErr w:type="spellStart"/>
                  <w:r w:rsidRPr="001320A8">
                    <w:rPr>
                      <w:lang w:val="es-ES"/>
                    </w:rPr>
                    <w:t>notiunilor</w:t>
                  </w:r>
                  <w:proofErr w:type="spellEnd"/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fundamentale</w:t>
                  </w:r>
                  <w:proofErr w:type="spellEnd"/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predate</w:t>
                  </w:r>
                  <w:proofErr w:type="spellEnd"/>
                </w:p>
                <w:p w:rsidR="007A55F6" w:rsidRPr="001320A8" w:rsidRDefault="007A55F6" w:rsidP="00A26AFD">
                  <w:pPr>
                    <w:spacing w:after="0" w:line="240" w:lineRule="auto"/>
                    <w:ind w:left="553"/>
                    <w:rPr>
                      <w:lang w:val="es-ES"/>
                    </w:rPr>
                  </w:pPr>
                  <w:r w:rsidRPr="001320A8">
                    <w:rPr>
                      <w:rFonts w:ascii="Arial" w:hAnsi="Arial" w:cs="Arial"/>
                      <w:lang w:val="es-ES"/>
                    </w:rPr>
                    <w:t>▪</w:t>
                  </w:r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Însuşirea</w:t>
                  </w:r>
                  <w:proofErr w:type="spellEnd"/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corecta</w:t>
                  </w:r>
                  <w:proofErr w:type="spellEnd"/>
                  <w:r w:rsidRPr="001320A8">
                    <w:rPr>
                      <w:lang w:val="es-ES"/>
                    </w:rPr>
                    <w:t xml:space="preserve"> a </w:t>
                  </w:r>
                  <w:proofErr w:type="spellStart"/>
                  <w:r w:rsidRPr="001320A8">
                    <w:rPr>
                      <w:lang w:val="es-ES"/>
                    </w:rPr>
                    <w:t>problematicii</w:t>
                  </w:r>
                  <w:proofErr w:type="spellEnd"/>
                  <w:r w:rsidRPr="001320A8">
                    <w:rPr>
                      <w:lang w:val="es-ES"/>
                    </w:rPr>
                    <w:t xml:space="preserve"> </w:t>
                  </w:r>
                  <w:proofErr w:type="spellStart"/>
                  <w:r w:rsidRPr="001320A8">
                    <w:rPr>
                      <w:lang w:val="es-ES"/>
                    </w:rPr>
                    <w:t>tratate</w:t>
                  </w:r>
                  <w:proofErr w:type="spellEnd"/>
                  <w:r w:rsidRPr="001320A8">
                    <w:rPr>
                      <w:lang w:val="es-ES"/>
                    </w:rPr>
                    <w:t xml:space="preserve"> la </w:t>
                  </w:r>
                  <w:proofErr w:type="spellStart"/>
                  <w:r w:rsidRPr="001320A8">
                    <w:rPr>
                      <w:lang w:val="es-ES"/>
                    </w:rPr>
                    <w:t>curs</w:t>
                  </w:r>
                  <w:proofErr w:type="spellEnd"/>
                  <w:r w:rsidRPr="001320A8">
                    <w:rPr>
                      <w:lang w:val="es-ES"/>
                    </w:rPr>
                    <w:t>;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Examen scris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>
                    <w:rPr>
                      <w:rFonts w:ascii="Times New Roman" w:hAnsi="Times New Roman"/>
                      <w:lang w:val="ro-RO"/>
                    </w:rPr>
                    <w:t>90</w:t>
                  </w:r>
                </w:p>
              </w:tc>
            </w:tr>
            <w:tr w:rsidR="007A55F6" w:rsidRPr="00143A7B" w:rsidTr="006D0A8A">
              <w:tc>
                <w:tcPr>
                  <w:tcW w:w="0" w:type="auto"/>
                  <w:vMerge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  <w:tr w:rsidR="007A55F6" w:rsidRPr="00307A66" w:rsidTr="006D0A8A">
              <w:tc>
                <w:tcPr>
                  <w:tcW w:w="0" w:type="auto"/>
                  <w:vMerge w:val="restart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10.5 Seminar / laborator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  <w:tr w:rsidR="007A55F6" w:rsidRPr="00307A66" w:rsidTr="006D0A8A">
              <w:tc>
                <w:tcPr>
                  <w:tcW w:w="0" w:type="auto"/>
                  <w:vMerge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EF54B6" w:rsidRDefault="007A55F6" w:rsidP="00A26AFD">
                  <w:pPr>
                    <w:spacing w:after="0" w:line="240" w:lineRule="auto"/>
                    <w:jc w:val="both"/>
                    <w:rPr>
                      <w:lang w:val="pt-BR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>
                    <w:rPr>
                      <w:rFonts w:ascii="Times New Roman" w:hAnsi="Times New Roman"/>
                      <w:lang w:val="ro-RO"/>
                    </w:rPr>
                    <w:t>/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  <w:tr w:rsidR="007A55F6" w:rsidRPr="00307A66" w:rsidTr="006D0A8A">
              <w:tc>
                <w:tcPr>
                  <w:tcW w:w="0" w:type="auto"/>
                  <w:vMerge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:rsidR="007A55F6" w:rsidRPr="00EF54B6" w:rsidRDefault="007A55F6" w:rsidP="00A26AFD">
                  <w:pPr>
                    <w:pStyle w:val="NoSpacing"/>
                    <w:rPr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Sustinere proiect</w:t>
                  </w:r>
                </w:p>
              </w:tc>
              <w:tc>
                <w:tcPr>
                  <w:tcW w:w="0" w:type="auto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</w:t>
                  </w:r>
                </w:p>
              </w:tc>
            </w:tr>
            <w:tr w:rsidR="007A55F6" w:rsidRPr="00307A66" w:rsidTr="006D0A8A">
              <w:tc>
                <w:tcPr>
                  <w:tcW w:w="0" w:type="auto"/>
                  <w:gridSpan w:val="4"/>
                </w:tcPr>
                <w:p w:rsidR="007A55F6" w:rsidRPr="001320A8" w:rsidRDefault="007A55F6" w:rsidP="00A26AFD">
                  <w:pPr>
                    <w:pStyle w:val="NoSpacing"/>
                    <w:rPr>
                      <w:rFonts w:ascii="Times New Roman" w:hAnsi="Times New Roman"/>
                      <w:lang w:val="ro-RO"/>
                    </w:rPr>
                  </w:pPr>
                  <w:r w:rsidRPr="001320A8">
                    <w:rPr>
                      <w:rFonts w:ascii="Times New Roman" w:hAnsi="Times New Roman"/>
                      <w:lang w:val="ro-RO"/>
                    </w:rPr>
                    <w:t>10.6 Standard minim de performanţă</w:t>
                  </w:r>
                </w:p>
              </w:tc>
            </w:tr>
            <w:tr w:rsidR="007A55F6" w:rsidRPr="00016914" w:rsidTr="006D0A8A">
              <w:tc>
                <w:tcPr>
                  <w:tcW w:w="0" w:type="auto"/>
                  <w:gridSpan w:val="4"/>
                </w:tcPr>
                <w:p w:rsidR="007A55F6" w:rsidRPr="00BA0412" w:rsidRDefault="007A55F6" w:rsidP="00A26AF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  <w:lang w:val="ro-RO"/>
                    </w:rPr>
                  </w:pP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Elaborarea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şi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susţinerea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publică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a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unei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lucrări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cu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caracter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aplicativ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,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pe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o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temă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din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domeniul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de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specialitate</w:t>
                  </w:r>
                  <w:proofErr w:type="spellEnd"/>
                </w:p>
                <w:p w:rsidR="007A55F6" w:rsidRPr="00BA0412" w:rsidRDefault="007A55F6" w:rsidP="00A26AFD">
                  <w:pPr>
                    <w:pStyle w:val="NoSpacing"/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  <w:lang w:val="ro-RO"/>
                    </w:rPr>
                  </w:pP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Prezentarea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rezultatelor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unei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investigaţii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asupra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publicului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/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audienţei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într</w:t>
                  </w:r>
                  <w:proofErr w:type="spellEnd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 xml:space="preserve">-un format standard de </w:t>
                  </w:r>
                  <w:proofErr w:type="spellStart"/>
                  <w:r w:rsidRPr="00BA0412">
                    <w:rPr>
                      <w:color w:val="000000"/>
                      <w:sz w:val="20"/>
                      <w:szCs w:val="20"/>
                      <w:shd w:val="clear" w:color="auto" w:fill="E7E7E7"/>
                      <w:lang w:val="fr-FR"/>
                    </w:rPr>
                    <w:t>comunicare</w:t>
                  </w:r>
                  <w:proofErr w:type="spellEnd"/>
                </w:p>
                <w:p w:rsidR="007A55F6" w:rsidRPr="001320A8" w:rsidRDefault="007A55F6" w:rsidP="00A26AFD">
                  <w:pPr>
                    <w:pStyle w:val="NoSpacing"/>
                    <w:ind w:left="720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</w:tbl>
          <w:p w:rsidR="007A55F6" w:rsidRDefault="007A55F6" w:rsidP="00A26AFD">
            <w:pPr>
              <w:spacing w:after="0" w:line="240" w:lineRule="auto"/>
              <w:ind w:left="720"/>
              <w:rPr>
                <w:lang w:val="ro-RO"/>
              </w:rPr>
            </w:pPr>
          </w:p>
          <w:p w:rsidR="007A55F6" w:rsidRPr="001320A8" w:rsidRDefault="007A55F6" w:rsidP="00A26AFD">
            <w:pPr>
              <w:spacing w:after="0" w:line="240" w:lineRule="auto"/>
              <w:ind w:left="720"/>
              <w:rPr>
                <w:lang w:val="ro-RO"/>
              </w:rPr>
            </w:pPr>
          </w:p>
        </w:tc>
      </w:tr>
      <w:tr w:rsidR="007A55F6" w:rsidRPr="00016914" w:rsidTr="007A55F6">
        <w:tc>
          <w:tcPr>
            <w:tcW w:w="10222" w:type="dxa"/>
            <w:gridSpan w:val="3"/>
            <w:shd w:val="clear" w:color="auto" w:fill="auto"/>
          </w:tcPr>
          <w:p w:rsidR="007A55F6" w:rsidRPr="001320A8" w:rsidRDefault="007A55F6" w:rsidP="00A26A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594424" w:rsidRPr="00307A66" w:rsidRDefault="00594424" w:rsidP="00A26AFD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594424" w:rsidRPr="00016914" w:rsidTr="001320A8">
        <w:tc>
          <w:tcPr>
            <w:tcW w:w="10207" w:type="dxa"/>
          </w:tcPr>
          <w:p w:rsidR="00594424" w:rsidRPr="001320A8" w:rsidRDefault="007A55F6" w:rsidP="007A55F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A55F6">
              <w:rPr>
                <w:rFonts w:ascii="Times New Roman" w:hAnsi="Times New Roman"/>
                <w:lang w:val="ro-RO"/>
              </w:rPr>
              <w:t>Introducerea în imagologie condiționează înțelegerea adecvată a noțiunilor de reprzentare socială, identitate culturală, esențiale în procesul de proiectare a comunicării publicitare</w:t>
            </w:r>
          </w:p>
        </w:tc>
      </w:tr>
    </w:tbl>
    <w:p w:rsidR="00594424" w:rsidRPr="00307A66" w:rsidRDefault="00594424" w:rsidP="00A26AFD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594424" w:rsidRPr="00307A66" w:rsidRDefault="00594424" w:rsidP="00A26AFD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56"/>
        <w:gridCol w:w="4442"/>
        <w:gridCol w:w="1883"/>
        <w:gridCol w:w="2041"/>
      </w:tblGrid>
      <w:tr w:rsidR="00594424" w:rsidRPr="00307A66" w:rsidTr="006D0A8A"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594424" w:rsidRPr="00143A7B" w:rsidTr="006D0A8A">
        <w:tc>
          <w:tcPr>
            <w:tcW w:w="0" w:type="auto"/>
            <w:vMerge w:val="restart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spacing w:after="0" w:line="240" w:lineRule="auto"/>
              <w:ind w:left="553"/>
              <w:rPr>
                <w:lang w:val="es-ES"/>
              </w:rPr>
            </w:pPr>
            <w:proofErr w:type="spellStart"/>
            <w:r w:rsidRPr="001320A8">
              <w:rPr>
                <w:lang w:val="es-ES"/>
              </w:rPr>
              <w:t>Cunoaşterea</w:t>
            </w:r>
            <w:proofErr w:type="spellEnd"/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detaliată</w:t>
            </w:r>
            <w:proofErr w:type="spellEnd"/>
            <w:r w:rsidRPr="001320A8">
              <w:rPr>
                <w:lang w:val="es-ES"/>
              </w:rPr>
              <w:t xml:space="preserve"> a </w:t>
            </w:r>
            <w:proofErr w:type="spellStart"/>
            <w:r w:rsidRPr="001320A8">
              <w:rPr>
                <w:lang w:val="es-ES"/>
              </w:rPr>
              <w:t>notiunilor</w:t>
            </w:r>
            <w:proofErr w:type="spellEnd"/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fundamentale</w:t>
            </w:r>
            <w:proofErr w:type="spellEnd"/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predate</w:t>
            </w:r>
            <w:proofErr w:type="spellEnd"/>
          </w:p>
          <w:p w:rsidR="00594424" w:rsidRPr="001320A8" w:rsidRDefault="00594424" w:rsidP="00A26AFD">
            <w:pPr>
              <w:spacing w:after="0" w:line="240" w:lineRule="auto"/>
              <w:ind w:left="553"/>
              <w:rPr>
                <w:lang w:val="es-ES"/>
              </w:rPr>
            </w:pPr>
            <w:r w:rsidRPr="001320A8">
              <w:rPr>
                <w:rFonts w:ascii="Arial" w:hAnsi="Arial" w:cs="Arial"/>
                <w:lang w:val="es-ES"/>
              </w:rPr>
              <w:t>▪</w:t>
            </w:r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Însuşirea</w:t>
            </w:r>
            <w:proofErr w:type="spellEnd"/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corecta</w:t>
            </w:r>
            <w:proofErr w:type="spellEnd"/>
            <w:r w:rsidRPr="001320A8">
              <w:rPr>
                <w:lang w:val="es-ES"/>
              </w:rPr>
              <w:t xml:space="preserve"> a </w:t>
            </w:r>
            <w:proofErr w:type="spellStart"/>
            <w:r w:rsidRPr="001320A8">
              <w:rPr>
                <w:lang w:val="es-ES"/>
              </w:rPr>
              <w:t>problematicii</w:t>
            </w:r>
            <w:proofErr w:type="spellEnd"/>
            <w:r w:rsidRPr="001320A8">
              <w:rPr>
                <w:lang w:val="es-ES"/>
              </w:rPr>
              <w:t xml:space="preserve"> </w:t>
            </w:r>
            <w:proofErr w:type="spellStart"/>
            <w:r w:rsidRPr="001320A8">
              <w:rPr>
                <w:lang w:val="es-ES"/>
              </w:rPr>
              <w:t>tratate</w:t>
            </w:r>
            <w:proofErr w:type="spellEnd"/>
            <w:r w:rsidRPr="001320A8">
              <w:rPr>
                <w:lang w:val="es-ES"/>
              </w:rPr>
              <w:t xml:space="preserve"> la </w:t>
            </w:r>
            <w:proofErr w:type="spellStart"/>
            <w:r w:rsidRPr="001320A8">
              <w:rPr>
                <w:lang w:val="es-ES"/>
              </w:rPr>
              <w:t>curs</w:t>
            </w:r>
            <w:proofErr w:type="spellEnd"/>
            <w:r w:rsidRPr="001320A8">
              <w:rPr>
                <w:lang w:val="es-ES"/>
              </w:rPr>
              <w:t>;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90</w:t>
            </w:r>
          </w:p>
        </w:tc>
      </w:tr>
      <w:tr w:rsidR="00594424" w:rsidRPr="00143A7B" w:rsidTr="006D0A8A">
        <w:tc>
          <w:tcPr>
            <w:tcW w:w="0" w:type="auto"/>
            <w:vMerge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4424" w:rsidRPr="00307A66" w:rsidTr="006D0A8A">
        <w:tc>
          <w:tcPr>
            <w:tcW w:w="0" w:type="auto"/>
            <w:vMerge w:val="restart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4424" w:rsidRPr="00307A66" w:rsidTr="006D0A8A">
        <w:tc>
          <w:tcPr>
            <w:tcW w:w="0" w:type="auto"/>
            <w:vMerge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EF54B6" w:rsidRDefault="00594424" w:rsidP="00A26AFD">
            <w:pPr>
              <w:spacing w:after="0" w:line="240" w:lineRule="auto"/>
              <w:jc w:val="both"/>
              <w:rPr>
                <w:lang w:val="pt-BR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70385B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/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94424" w:rsidRPr="00307A66" w:rsidTr="006D0A8A">
        <w:tc>
          <w:tcPr>
            <w:tcW w:w="0" w:type="auto"/>
            <w:vMerge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EF54B6" w:rsidRDefault="00594424" w:rsidP="00A26AFD">
            <w:pPr>
              <w:pStyle w:val="NoSpacing"/>
              <w:rPr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Sustinere proiect</w:t>
            </w:r>
          </w:p>
        </w:tc>
        <w:tc>
          <w:tcPr>
            <w:tcW w:w="0" w:type="auto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594424" w:rsidRPr="00307A66" w:rsidTr="006D0A8A">
        <w:tc>
          <w:tcPr>
            <w:tcW w:w="0" w:type="auto"/>
            <w:gridSpan w:val="4"/>
            <w:shd w:val="clear" w:color="auto" w:fill="auto"/>
          </w:tcPr>
          <w:p w:rsidR="00594424" w:rsidRPr="001320A8" w:rsidRDefault="00594424" w:rsidP="00A26A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594424" w:rsidRPr="00016914" w:rsidTr="006D0A8A">
        <w:tc>
          <w:tcPr>
            <w:tcW w:w="0" w:type="auto"/>
            <w:gridSpan w:val="4"/>
            <w:shd w:val="clear" w:color="auto" w:fill="auto"/>
          </w:tcPr>
          <w:p w:rsidR="00594424" w:rsidRPr="00BA0412" w:rsidRDefault="00BA0412" w:rsidP="00A26AF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Elaborarea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şi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susţinerea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publică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a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unei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lucrări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cu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caracter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aplicativ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,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pe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o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temă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din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domeniul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de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specialitate</w:t>
            </w:r>
            <w:proofErr w:type="spellEnd"/>
          </w:p>
          <w:p w:rsidR="00BA0412" w:rsidRPr="00BA0412" w:rsidRDefault="00BA0412" w:rsidP="00A26AF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Prezentarea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rezultatelor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unei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investigaţii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asupra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publicului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/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audienţei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într</w:t>
            </w:r>
            <w:proofErr w:type="spellEnd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-un format standard de </w:t>
            </w:r>
            <w:proofErr w:type="spellStart"/>
            <w:r w:rsidRPr="00BA0412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comunicare</w:t>
            </w:r>
            <w:proofErr w:type="spellEnd"/>
          </w:p>
          <w:p w:rsidR="00BA0412" w:rsidRPr="001320A8" w:rsidRDefault="00BA0412" w:rsidP="00A26AF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594424" w:rsidRPr="00307A66" w:rsidRDefault="00594424" w:rsidP="00A26AFD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594424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p w:rsidR="00594424" w:rsidRDefault="00594424" w:rsidP="00A26AFD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/>
      </w:tblPr>
      <w:tblGrid>
        <w:gridCol w:w="3396"/>
        <w:gridCol w:w="1698"/>
        <w:gridCol w:w="1698"/>
        <w:gridCol w:w="3396"/>
      </w:tblGrid>
      <w:tr w:rsidR="00594424" w:rsidTr="001320A8">
        <w:tc>
          <w:tcPr>
            <w:tcW w:w="3396" w:type="dxa"/>
          </w:tcPr>
          <w:p w:rsidR="00594424" w:rsidRDefault="00594424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Data completării</w:t>
            </w:r>
          </w:p>
          <w:p w:rsidR="00942E7F" w:rsidRPr="001320A8" w:rsidRDefault="00942E7F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01.10.201</w:t>
            </w:r>
            <w:r w:rsidR="00016914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594424" w:rsidRPr="001320A8" w:rsidRDefault="00594424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Semnătura titularului</w:t>
            </w:r>
          </w:p>
        </w:tc>
        <w:tc>
          <w:tcPr>
            <w:tcW w:w="3396" w:type="dxa"/>
          </w:tcPr>
          <w:p w:rsidR="00594424" w:rsidRPr="001320A8" w:rsidRDefault="00594424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594424" w:rsidTr="001320A8">
        <w:tc>
          <w:tcPr>
            <w:tcW w:w="5094" w:type="dxa"/>
            <w:gridSpan w:val="2"/>
          </w:tcPr>
          <w:p w:rsidR="00594424" w:rsidRPr="001320A8" w:rsidRDefault="00594424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594424" w:rsidRPr="001320A8" w:rsidRDefault="00594424" w:rsidP="00A26AF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1320A8">
              <w:rPr>
                <w:rFonts w:ascii="Times New Roman" w:hAnsi="Times New Roman"/>
                <w:lang w:val="ro-RO"/>
              </w:rPr>
              <w:t>Semnătura directorului departamentului</w:t>
            </w:r>
          </w:p>
        </w:tc>
      </w:tr>
    </w:tbl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  <w:bookmarkStart w:id="0" w:name="_GoBack"/>
      <w:bookmarkEnd w:id="0"/>
    </w:p>
    <w:p w:rsidR="00594424" w:rsidRPr="00307A66" w:rsidRDefault="00594424" w:rsidP="00A26AFD">
      <w:pPr>
        <w:spacing w:after="0" w:line="240" w:lineRule="auto"/>
        <w:rPr>
          <w:rFonts w:ascii="Times New Roman" w:hAnsi="Times New Roman"/>
          <w:lang w:val="ro-RO"/>
        </w:rPr>
      </w:pPr>
    </w:p>
    <w:sectPr w:rsidR="005944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72122D3"/>
    <w:multiLevelType w:val="hybridMultilevel"/>
    <w:tmpl w:val="5BEE25E4"/>
    <w:lvl w:ilvl="0" w:tplc="16E84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D09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D407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EA6E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67D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6C73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66E3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6ABD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BA8B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3F154C"/>
    <w:multiLevelType w:val="hybridMultilevel"/>
    <w:tmpl w:val="91C24F9E"/>
    <w:lvl w:ilvl="0" w:tplc="ED8C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98FC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7AC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6127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B876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465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CE4F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1AE9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A69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9A1CAA"/>
    <w:multiLevelType w:val="hybridMultilevel"/>
    <w:tmpl w:val="DA9A073A"/>
    <w:lvl w:ilvl="0" w:tplc="86E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3CD3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64FC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2084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A6B1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003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540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6A31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FE42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822202"/>
    <w:multiLevelType w:val="multilevel"/>
    <w:tmpl w:val="BE3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94A40"/>
    <w:multiLevelType w:val="hybridMultilevel"/>
    <w:tmpl w:val="860296D6"/>
    <w:lvl w:ilvl="0" w:tplc="3E244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BE87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40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8EF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08E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F24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A83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3C6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41D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B3461C"/>
    <w:multiLevelType w:val="hybridMultilevel"/>
    <w:tmpl w:val="B3287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67571"/>
    <w:multiLevelType w:val="hybridMultilevel"/>
    <w:tmpl w:val="957401BC"/>
    <w:lvl w:ilvl="0" w:tplc="E3803E9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3488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CFB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0201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7269C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4CC3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64D9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28054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34F4C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F3B182D"/>
    <w:multiLevelType w:val="hybridMultilevel"/>
    <w:tmpl w:val="359C154E"/>
    <w:lvl w:ilvl="0" w:tplc="937A1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8806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72DA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EBA3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CCA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3081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1AF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16EE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C6D9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36081F45"/>
    <w:multiLevelType w:val="hybridMultilevel"/>
    <w:tmpl w:val="9446EA08"/>
    <w:lvl w:ilvl="0" w:tplc="E4504F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66A63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E039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5801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AA47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9610B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2E0E9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A2F66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01EB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637F7A"/>
    <w:multiLevelType w:val="hybridMultilevel"/>
    <w:tmpl w:val="0ECC04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A86358C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2008EF"/>
    <w:multiLevelType w:val="hybridMultilevel"/>
    <w:tmpl w:val="EF58A504"/>
    <w:lvl w:ilvl="0" w:tplc="06A2C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43F42">
      <w:start w:val="5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24A7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0B67E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20FB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7C65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983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AE2D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AAD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5E250C66"/>
    <w:multiLevelType w:val="hybridMultilevel"/>
    <w:tmpl w:val="A3FA32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E61817"/>
    <w:multiLevelType w:val="hybridMultilevel"/>
    <w:tmpl w:val="B62EB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816168"/>
    <w:multiLevelType w:val="hybridMultilevel"/>
    <w:tmpl w:val="3C447678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706225A2"/>
    <w:multiLevelType w:val="hybridMultilevel"/>
    <w:tmpl w:val="FE64C4AC"/>
    <w:lvl w:ilvl="0" w:tplc="70C81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1002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32FD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C8A5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EA9C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D4FA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22948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66C7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D873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B5533"/>
    <w:multiLevelType w:val="multilevel"/>
    <w:tmpl w:val="B576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8B1E76"/>
    <w:multiLevelType w:val="hybridMultilevel"/>
    <w:tmpl w:val="B25AA67E"/>
    <w:lvl w:ilvl="0" w:tplc="0D2EF7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17"/>
  </w:num>
  <w:num w:numId="5">
    <w:abstractNumId w:val="13"/>
  </w:num>
  <w:num w:numId="6">
    <w:abstractNumId w:val="14"/>
  </w:num>
  <w:num w:numId="7">
    <w:abstractNumId w:val="8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9"/>
  </w:num>
  <w:num w:numId="13">
    <w:abstractNumId w:val="5"/>
  </w:num>
  <w:num w:numId="14">
    <w:abstractNumId w:val="2"/>
  </w:num>
  <w:num w:numId="15">
    <w:abstractNumId w:val="16"/>
  </w:num>
  <w:num w:numId="16">
    <w:abstractNumId w:val="22"/>
  </w:num>
  <w:num w:numId="17">
    <w:abstractNumId w:val="12"/>
  </w:num>
  <w:num w:numId="18">
    <w:abstractNumId w:val="18"/>
  </w:num>
  <w:num w:numId="19">
    <w:abstractNumId w:val="6"/>
  </w:num>
  <w:num w:numId="20">
    <w:abstractNumId w:val="4"/>
  </w:num>
  <w:num w:numId="21">
    <w:abstractNumId w:val="21"/>
  </w:num>
  <w:num w:numId="22">
    <w:abstractNumId w:val="1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3EE"/>
    <w:rsid w:val="00016914"/>
    <w:rsid w:val="000349BD"/>
    <w:rsid w:val="00061300"/>
    <w:rsid w:val="000A4A7D"/>
    <w:rsid w:val="001320A8"/>
    <w:rsid w:val="00143A7B"/>
    <w:rsid w:val="0020167D"/>
    <w:rsid w:val="002771E3"/>
    <w:rsid w:val="002D749B"/>
    <w:rsid w:val="00307A66"/>
    <w:rsid w:val="00330A27"/>
    <w:rsid w:val="00331618"/>
    <w:rsid w:val="003954C2"/>
    <w:rsid w:val="003D029E"/>
    <w:rsid w:val="003F40B7"/>
    <w:rsid w:val="00407254"/>
    <w:rsid w:val="0042109F"/>
    <w:rsid w:val="0045682E"/>
    <w:rsid w:val="004A1E12"/>
    <w:rsid w:val="004B6B47"/>
    <w:rsid w:val="004C5E37"/>
    <w:rsid w:val="00545B4C"/>
    <w:rsid w:val="00594424"/>
    <w:rsid w:val="00604C22"/>
    <w:rsid w:val="00683726"/>
    <w:rsid w:val="006B358F"/>
    <w:rsid w:val="006D0A8A"/>
    <w:rsid w:val="0070385B"/>
    <w:rsid w:val="00723785"/>
    <w:rsid w:val="0075423E"/>
    <w:rsid w:val="00790BF0"/>
    <w:rsid w:val="007A55F6"/>
    <w:rsid w:val="00882467"/>
    <w:rsid w:val="008D0B24"/>
    <w:rsid w:val="00935398"/>
    <w:rsid w:val="00942E7F"/>
    <w:rsid w:val="009A243F"/>
    <w:rsid w:val="009F19C7"/>
    <w:rsid w:val="00A26AFD"/>
    <w:rsid w:val="00AB05DB"/>
    <w:rsid w:val="00AB0A07"/>
    <w:rsid w:val="00AF5B91"/>
    <w:rsid w:val="00AF7BD3"/>
    <w:rsid w:val="00B00FCF"/>
    <w:rsid w:val="00B21CA8"/>
    <w:rsid w:val="00BA0412"/>
    <w:rsid w:val="00C338CD"/>
    <w:rsid w:val="00CE033D"/>
    <w:rsid w:val="00CE4E49"/>
    <w:rsid w:val="00D34EA9"/>
    <w:rsid w:val="00D463EE"/>
    <w:rsid w:val="00D655BC"/>
    <w:rsid w:val="00D92874"/>
    <w:rsid w:val="00DD0789"/>
    <w:rsid w:val="00E21AEC"/>
    <w:rsid w:val="00E21ECE"/>
    <w:rsid w:val="00E44D2E"/>
    <w:rsid w:val="00EF54B6"/>
    <w:rsid w:val="00F70364"/>
    <w:rsid w:val="00F9120A"/>
    <w:rsid w:val="00FD0007"/>
    <w:rsid w:val="00FE24C1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771E3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customStyle="1" w:styleId="bylinepipe">
    <w:name w:val="bylinepipe"/>
    <w:basedOn w:val="DefaultParagraphFont"/>
    <w:uiPriority w:val="99"/>
    <w:rsid w:val="0045682E"/>
    <w:rPr>
      <w:rFonts w:cs="Times New Roman"/>
    </w:rPr>
  </w:style>
  <w:style w:type="character" w:styleId="Hyperlink">
    <w:name w:val="Hyperlink"/>
    <w:basedOn w:val="DefaultParagraphFont"/>
    <w:uiPriority w:val="99"/>
    <w:rsid w:val="0045682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771E3"/>
    <w:rPr>
      <w:rFonts w:ascii="Cambria" w:eastAsia="Times New Roman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2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632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639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23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34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38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25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640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3641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31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29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37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9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93626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1395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ramona.puiu</dc:creator>
  <cp:keywords/>
  <dc:description/>
  <cp:lastModifiedBy>Claudiu Mesaros</cp:lastModifiedBy>
  <cp:revision>23</cp:revision>
  <cp:lastPrinted>2014-01-10T12:08:00Z</cp:lastPrinted>
  <dcterms:created xsi:type="dcterms:W3CDTF">2012-09-18T08:08:00Z</dcterms:created>
  <dcterms:modified xsi:type="dcterms:W3CDTF">2017-10-30T09:25:00Z</dcterms:modified>
</cp:coreProperties>
</file>